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5154C2" w14:textId="77777777" w:rsidR="002D7B03" w:rsidRDefault="002D7B03" w:rsidP="009D5F29">
      <w:pPr>
        <w:spacing w:line="360" w:lineRule="auto"/>
        <w:jc w:val="both"/>
        <w:rPr>
          <w:b/>
          <w:bCs/>
          <w:smallCaps/>
          <w:spacing w:val="20"/>
        </w:rPr>
      </w:pPr>
      <w:bookmarkStart w:id="0" w:name="_GoBack"/>
      <w:bookmarkEnd w:id="0"/>
    </w:p>
    <w:p w14:paraId="61509419" w14:textId="0B848C11" w:rsidR="0071198E" w:rsidRDefault="00BC1F74" w:rsidP="009D5F29">
      <w:pPr>
        <w:spacing w:line="360" w:lineRule="auto"/>
        <w:jc w:val="both"/>
        <w:rPr>
          <w:b/>
          <w:bCs/>
          <w:smallCaps/>
          <w:spacing w:val="20"/>
        </w:rPr>
      </w:pPr>
      <w:r>
        <w:rPr>
          <w:b/>
          <w:bCs/>
          <w:smallCaps/>
          <w:spacing w:val="20"/>
        </w:rPr>
        <w:t>El crimen de Te</w:t>
      </w:r>
      <w:r w:rsidR="00AB0FCF">
        <w:rPr>
          <w:b/>
          <w:bCs/>
          <w:smallCaps/>
          <w:spacing w:val="20"/>
        </w:rPr>
        <w:t>k</w:t>
      </w:r>
      <w:r>
        <w:rPr>
          <w:b/>
          <w:bCs/>
          <w:smallCaps/>
          <w:spacing w:val="20"/>
        </w:rPr>
        <w:t xml:space="preserve">ax: </w:t>
      </w:r>
      <w:r w:rsidR="0071198E">
        <w:rPr>
          <w:b/>
          <w:bCs/>
          <w:smallCaps/>
          <w:spacing w:val="20"/>
        </w:rPr>
        <w:t>la crónica periodística y su narrativa crítica</w:t>
      </w:r>
      <w:r w:rsidR="002C0BE4">
        <w:rPr>
          <w:b/>
          <w:bCs/>
          <w:color w:val="808080"/>
          <w:spacing w:val="20"/>
          <w:shd w:val="clear" w:color="auto" w:fill="FFFFFF"/>
        </w:rPr>
        <w:t xml:space="preserve"> </w:t>
      </w:r>
      <w:r w:rsidR="002C0BE4" w:rsidRPr="00AB0FCF">
        <w:rPr>
          <w:b/>
          <w:bCs/>
          <w:smallCaps/>
          <w:spacing w:val="20"/>
        </w:rPr>
        <w:t>en Yucatán en 1890</w:t>
      </w:r>
    </w:p>
    <w:p w14:paraId="5C70D03E" w14:textId="6B4E5DF8" w:rsidR="009D5F29" w:rsidRDefault="0071198E" w:rsidP="009D5F29">
      <w:pPr>
        <w:spacing w:line="360" w:lineRule="auto"/>
        <w:jc w:val="both"/>
        <w:rPr>
          <w:b/>
          <w:bCs/>
          <w:smallCaps/>
          <w:spacing w:val="20"/>
        </w:rPr>
      </w:pPr>
      <w:r>
        <w:rPr>
          <w:b/>
          <w:bCs/>
          <w:smallCaps/>
          <w:spacing w:val="20"/>
        </w:rPr>
        <w:t xml:space="preserve"> </w:t>
      </w:r>
    </w:p>
    <w:p w14:paraId="37460E36" w14:textId="2114C379" w:rsidR="004752D0" w:rsidRDefault="009D5F29" w:rsidP="00AB0FCF">
      <w:pPr>
        <w:spacing w:line="360" w:lineRule="auto"/>
        <w:jc w:val="both"/>
        <w:rPr>
          <w:rFonts w:cs="Arial"/>
        </w:rPr>
      </w:pPr>
      <w:r w:rsidRPr="0071198E">
        <w:rPr>
          <w:rFonts w:cs="Arial"/>
        </w:rPr>
        <w:t>El homicidio es “</w:t>
      </w:r>
      <w:r w:rsidRPr="0071198E">
        <w:rPr>
          <w:rFonts w:cs="Arial"/>
          <w:i/>
        </w:rPr>
        <w:t>el único acto social considerado casi universalmente como un crimen”</w:t>
      </w:r>
      <w:r w:rsidRPr="0071198E">
        <w:rPr>
          <w:rFonts w:cs="Arial"/>
        </w:rPr>
        <w:t>,</w:t>
      </w:r>
      <w:r w:rsidR="0058652C" w:rsidRPr="00711701">
        <w:t xml:space="preserve"> (</w:t>
      </w:r>
      <w:r w:rsidR="0058652C" w:rsidRPr="00711701">
        <w:rPr>
          <w:rFonts w:cs="Arial"/>
        </w:rPr>
        <w:t>Taylor B., 1987</w:t>
      </w:r>
      <w:r w:rsidR="004853D5">
        <w:rPr>
          <w:rFonts w:cs="Arial"/>
        </w:rPr>
        <w:t>:</w:t>
      </w:r>
      <w:r w:rsidR="0058652C" w:rsidRPr="00711701">
        <w:rPr>
          <w:rFonts w:cs="Arial"/>
        </w:rPr>
        <w:t xml:space="preserve"> 119</w:t>
      </w:r>
      <w:r w:rsidR="00F2302D" w:rsidRPr="00AE36DB">
        <w:rPr>
          <w:rFonts w:cs="Arial"/>
        </w:rPr>
        <w:t>)</w:t>
      </w:r>
      <w:r w:rsidR="00884954">
        <w:rPr>
          <w:rFonts w:cs="Arial"/>
        </w:rPr>
        <w:t>, toda sociedad lo castiga</w:t>
      </w:r>
      <w:r w:rsidRPr="0071198E">
        <w:rPr>
          <w:rFonts w:cs="Arial"/>
        </w:rPr>
        <w:t xml:space="preserve">. </w:t>
      </w:r>
      <w:r w:rsidR="00382428" w:rsidRPr="00711701">
        <w:rPr>
          <w:rFonts w:cs="Arial"/>
        </w:rPr>
        <w:t xml:space="preserve">Este documento examina </w:t>
      </w:r>
      <w:r w:rsidR="00884954">
        <w:rPr>
          <w:rFonts w:cs="Arial"/>
        </w:rPr>
        <w:t>un crimen</w:t>
      </w:r>
      <w:r w:rsidR="00FB0E14" w:rsidRPr="00AE36DB">
        <w:rPr>
          <w:rFonts w:cs="Arial"/>
        </w:rPr>
        <w:t xml:space="preserve"> </w:t>
      </w:r>
      <w:r w:rsidR="00884954">
        <w:rPr>
          <w:rFonts w:cs="Arial"/>
        </w:rPr>
        <w:t>acontecido</w:t>
      </w:r>
      <w:r w:rsidR="00FB0E14" w:rsidRPr="00AE36DB">
        <w:rPr>
          <w:rFonts w:cs="Arial"/>
        </w:rPr>
        <w:t xml:space="preserve"> en </w:t>
      </w:r>
      <w:r w:rsidR="002C0BE4">
        <w:rPr>
          <w:rFonts w:cs="Arial"/>
        </w:rPr>
        <w:t xml:space="preserve">1890 en </w:t>
      </w:r>
      <w:r w:rsidR="00FB0E14" w:rsidRPr="00AE36DB">
        <w:rPr>
          <w:rFonts w:cs="Arial"/>
        </w:rPr>
        <w:t>una finca</w:t>
      </w:r>
      <w:r w:rsidR="00D839B8">
        <w:rPr>
          <w:rFonts w:cs="Arial"/>
        </w:rPr>
        <w:t>, su estudio ayuda</w:t>
      </w:r>
      <w:r w:rsidR="00884954">
        <w:rPr>
          <w:rFonts w:cs="Arial"/>
        </w:rPr>
        <w:t>r</w:t>
      </w:r>
      <w:r w:rsidR="001279CF">
        <w:rPr>
          <w:rFonts w:cs="Arial"/>
        </w:rPr>
        <w:t>á</w:t>
      </w:r>
      <w:r w:rsidR="00D839B8">
        <w:rPr>
          <w:rFonts w:cs="Arial"/>
        </w:rPr>
        <w:t xml:space="preserve"> a entender cómo se </w:t>
      </w:r>
      <w:r w:rsidR="00884954">
        <w:rPr>
          <w:rFonts w:cs="Arial"/>
        </w:rPr>
        <w:t xml:space="preserve">construyó </w:t>
      </w:r>
      <w:r w:rsidR="00382428" w:rsidRPr="00711701">
        <w:rPr>
          <w:rFonts w:cs="Arial"/>
        </w:rPr>
        <w:t xml:space="preserve">el control social </w:t>
      </w:r>
      <w:r w:rsidR="00F15D5E" w:rsidRPr="00711701">
        <w:rPr>
          <w:rFonts w:cs="Arial"/>
        </w:rPr>
        <w:t xml:space="preserve">en </w:t>
      </w:r>
      <w:r w:rsidR="00D839B8">
        <w:rPr>
          <w:rFonts w:cs="Arial"/>
        </w:rPr>
        <w:t xml:space="preserve">el </w:t>
      </w:r>
      <w:r w:rsidR="00F15D5E" w:rsidRPr="00711701">
        <w:rPr>
          <w:rFonts w:cs="Arial"/>
        </w:rPr>
        <w:t>Yucatán</w:t>
      </w:r>
      <w:r w:rsidR="00BC0323">
        <w:rPr>
          <w:rFonts w:cs="Arial"/>
        </w:rPr>
        <w:t xml:space="preserve"> rural, y </w:t>
      </w:r>
      <w:r w:rsidR="00884954">
        <w:rPr>
          <w:rFonts w:cs="Arial"/>
        </w:rPr>
        <w:t xml:space="preserve">cuáles fueron las razones por las que el </w:t>
      </w:r>
      <w:r w:rsidR="000E3319">
        <w:rPr>
          <w:rFonts w:cs="Arial"/>
        </w:rPr>
        <w:t>periodismo yucateco</w:t>
      </w:r>
      <w:r w:rsidR="00884954">
        <w:rPr>
          <w:rFonts w:cs="Arial"/>
        </w:rPr>
        <w:t xml:space="preserve"> se interesó en el suceso. </w:t>
      </w:r>
      <w:r w:rsidR="004752D0" w:rsidRPr="00BC0323">
        <w:rPr>
          <w:rFonts w:cs="Arial"/>
        </w:rPr>
        <w:t>Este artículo analiz</w:t>
      </w:r>
      <w:r w:rsidR="00F15D5E" w:rsidRPr="00BC0323">
        <w:rPr>
          <w:rFonts w:cs="Arial"/>
        </w:rPr>
        <w:t>a</w:t>
      </w:r>
      <w:r w:rsidR="004752D0" w:rsidRPr="00BC0323">
        <w:rPr>
          <w:rFonts w:cs="Arial"/>
        </w:rPr>
        <w:t xml:space="preserve"> el manejo que la prensa dio a </w:t>
      </w:r>
      <w:r w:rsidR="00F15D5E" w:rsidRPr="00BC0323">
        <w:rPr>
          <w:rFonts w:cs="Arial"/>
        </w:rPr>
        <w:t xml:space="preserve">un </w:t>
      </w:r>
      <w:r w:rsidR="004752D0" w:rsidRPr="00BC0323">
        <w:rPr>
          <w:rFonts w:cs="Arial"/>
        </w:rPr>
        <w:t>homicidio que se registr</w:t>
      </w:r>
      <w:r w:rsidR="00F15D5E" w:rsidRPr="00BC0323">
        <w:rPr>
          <w:rFonts w:cs="Arial"/>
        </w:rPr>
        <w:t>ó</w:t>
      </w:r>
      <w:r w:rsidR="004752D0" w:rsidRPr="00BC0323">
        <w:rPr>
          <w:rFonts w:cs="Arial"/>
        </w:rPr>
        <w:t xml:space="preserve"> en </w:t>
      </w:r>
      <w:r w:rsidR="00BC0323">
        <w:rPr>
          <w:rFonts w:cs="Arial"/>
        </w:rPr>
        <w:t>Tekax</w:t>
      </w:r>
      <w:r w:rsidR="009A55A5" w:rsidRPr="00711701">
        <w:rPr>
          <w:rFonts w:cs="Arial"/>
        </w:rPr>
        <w:t xml:space="preserve"> </w:t>
      </w:r>
      <w:r w:rsidR="00BC0323">
        <w:rPr>
          <w:rFonts w:cs="Arial"/>
        </w:rPr>
        <w:t xml:space="preserve">en </w:t>
      </w:r>
      <w:r w:rsidR="00F15D5E" w:rsidRPr="00BC0323">
        <w:rPr>
          <w:rFonts w:cs="Arial"/>
        </w:rPr>
        <w:t>una</w:t>
      </w:r>
      <w:r w:rsidR="004752D0" w:rsidRPr="00BC0323">
        <w:rPr>
          <w:rFonts w:cs="Arial"/>
        </w:rPr>
        <w:t xml:space="preserve"> hacienda henequenera de Yucatán.</w:t>
      </w:r>
      <w:r w:rsidR="002C0BE4">
        <w:rPr>
          <w:rFonts w:cs="Arial"/>
        </w:rPr>
        <w:t xml:space="preserve"> </w:t>
      </w:r>
      <w:r w:rsidR="004752D0" w:rsidRPr="00BC0323">
        <w:rPr>
          <w:rFonts w:cs="Arial"/>
        </w:rPr>
        <w:t xml:space="preserve">En este sentido, interesa </w:t>
      </w:r>
      <w:r w:rsidR="0046666C" w:rsidRPr="00BC0323">
        <w:rPr>
          <w:rFonts w:cs="Arial"/>
        </w:rPr>
        <w:t xml:space="preserve">explicar </w:t>
      </w:r>
      <w:r w:rsidR="004752D0" w:rsidRPr="00BC0323">
        <w:rPr>
          <w:rFonts w:cs="Arial"/>
        </w:rPr>
        <w:t>por qué l</w:t>
      </w:r>
      <w:r w:rsidRPr="00BC0323">
        <w:rPr>
          <w:rFonts w:cs="Arial"/>
        </w:rPr>
        <w:t>a prensa decimonónica</w:t>
      </w:r>
      <w:r w:rsidR="004752D0" w:rsidRPr="00BC0323">
        <w:rPr>
          <w:rFonts w:cs="Arial"/>
        </w:rPr>
        <w:t xml:space="preserve"> meridana </w:t>
      </w:r>
      <w:r w:rsidR="00BC0323">
        <w:rPr>
          <w:rFonts w:cs="Arial"/>
        </w:rPr>
        <w:t>defendió a</w:t>
      </w:r>
      <w:r w:rsidR="004752D0" w:rsidRPr="00BC0323">
        <w:rPr>
          <w:rFonts w:cs="Arial"/>
        </w:rPr>
        <w:t xml:space="preserve"> </w:t>
      </w:r>
      <w:r w:rsidR="0046666C" w:rsidRPr="00BC0323">
        <w:rPr>
          <w:rFonts w:cs="Arial"/>
        </w:rPr>
        <w:t>un</w:t>
      </w:r>
      <w:r w:rsidR="004752D0" w:rsidRPr="00BC0323">
        <w:rPr>
          <w:rFonts w:cs="Arial"/>
        </w:rPr>
        <w:t xml:space="preserve"> </w:t>
      </w:r>
      <w:r w:rsidR="00BC0323" w:rsidRPr="00BC0323">
        <w:rPr>
          <w:rFonts w:cs="Arial"/>
        </w:rPr>
        <w:t>jornalero</w:t>
      </w:r>
      <w:r w:rsidR="004752D0" w:rsidRPr="00BC0323">
        <w:rPr>
          <w:rFonts w:cs="Arial"/>
        </w:rPr>
        <w:t xml:space="preserve"> </w:t>
      </w:r>
      <w:r w:rsidR="008F07BD">
        <w:rPr>
          <w:rFonts w:cs="Arial"/>
        </w:rPr>
        <w:t>asesinado</w:t>
      </w:r>
      <w:r w:rsidR="0046666C" w:rsidRPr="00BC0323">
        <w:rPr>
          <w:rFonts w:cs="Arial"/>
        </w:rPr>
        <w:t xml:space="preserve">, cuando en otros casos solo </w:t>
      </w:r>
      <w:r w:rsidR="00BC0323">
        <w:rPr>
          <w:rFonts w:cs="Arial"/>
        </w:rPr>
        <w:t xml:space="preserve">narraba </w:t>
      </w:r>
      <w:r w:rsidR="009A55A5" w:rsidRPr="00711701">
        <w:rPr>
          <w:rFonts w:cs="Arial"/>
        </w:rPr>
        <w:t xml:space="preserve">los homicidios </w:t>
      </w:r>
      <w:r w:rsidR="004752D0" w:rsidRPr="007B30EA">
        <w:rPr>
          <w:rFonts w:cs="Arial"/>
        </w:rPr>
        <w:t>registra</w:t>
      </w:r>
      <w:r w:rsidR="009A55A5" w:rsidRPr="00711701">
        <w:rPr>
          <w:rFonts w:cs="Arial"/>
        </w:rPr>
        <w:t>dos</w:t>
      </w:r>
      <w:r w:rsidR="006757A8">
        <w:rPr>
          <w:rFonts w:cs="Arial"/>
        </w:rPr>
        <w:t xml:space="preserve"> sin presentar tantos detalles ni juicios sobre las autoridades</w:t>
      </w:r>
      <w:r w:rsidR="004752D0" w:rsidRPr="007B30EA">
        <w:rPr>
          <w:rFonts w:cs="Arial"/>
        </w:rPr>
        <w:t xml:space="preserve">. </w:t>
      </w:r>
      <w:r w:rsidR="006757A8">
        <w:rPr>
          <w:rFonts w:cs="Arial"/>
        </w:rPr>
        <w:t>Cabe destacar que e</w:t>
      </w:r>
      <w:r w:rsidR="0046666C" w:rsidRPr="007B30EA">
        <w:rPr>
          <w:rFonts w:cs="Arial"/>
        </w:rPr>
        <w:t>ste</w:t>
      </w:r>
      <w:r w:rsidR="004752D0" w:rsidRPr="007B30EA">
        <w:rPr>
          <w:rFonts w:cs="Arial"/>
        </w:rPr>
        <w:t xml:space="preserve"> cr</w:t>
      </w:r>
      <w:r w:rsidR="0046666C" w:rsidRPr="007B30EA">
        <w:rPr>
          <w:rFonts w:cs="Arial"/>
        </w:rPr>
        <w:t>i</w:t>
      </w:r>
      <w:r w:rsidR="004752D0" w:rsidRPr="007B30EA">
        <w:rPr>
          <w:rFonts w:cs="Arial"/>
        </w:rPr>
        <w:t>men no fu</w:t>
      </w:r>
      <w:r w:rsidR="0046666C" w:rsidRPr="007B30EA">
        <w:rPr>
          <w:rFonts w:cs="Arial"/>
        </w:rPr>
        <w:t>e</w:t>
      </w:r>
      <w:r w:rsidR="004752D0" w:rsidRPr="007B30EA">
        <w:rPr>
          <w:rFonts w:cs="Arial"/>
        </w:rPr>
        <w:t xml:space="preserve"> ubicado </w:t>
      </w:r>
      <w:r w:rsidR="007B30EA">
        <w:rPr>
          <w:rFonts w:cs="Arial"/>
        </w:rPr>
        <w:t xml:space="preserve">durante la pesquisa de búsqueda de datos </w:t>
      </w:r>
      <w:r w:rsidR="004752D0" w:rsidRPr="007B30EA">
        <w:rPr>
          <w:rFonts w:cs="Arial"/>
        </w:rPr>
        <w:t>en los acervos de</w:t>
      </w:r>
      <w:r w:rsidR="007B30EA">
        <w:rPr>
          <w:rFonts w:cs="Arial"/>
        </w:rPr>
        <w:t xml:space="preserve">l Fondo Justicia del Ramo Penal </w:t>
      </w:r>
      <w:r w:rsidR="004752D0" w:rsidRPr="007B30EA">
        <w:rPr>
          <w:rFonts w:cs="Arial"/>
        </w:rPr>
        <w:t>del Archivo General del Estado de Yucatán</w:t>
      </w:r>
      <w:r w:rsidR="0062144E">
        <w:rPr>
          <w:rFonts w:cs="Arial"/>
        </w:rPr>
        <w:t xml:space="preserve"> (AGEY)</w:t>
      </w:r>
      <w:r w:rsidR="001B3F0A" w:rsidRPr="007B30EA">
        <w:rPr>
          <w:rFonts w:cs="Arial"/>
        </w:rPr>
        <w:t>.</w:t>
      </w:r>
      <w:r w:rsidR="004752D0" w:rsidRPr="007B30EA">
        <w:rPr>
          <w:rFonts w:cs="Arial"/>
        </w:rPr>
        <w:t xml:space="preserve"> </w:t>
      </w:r>
      <w:r w:rsidR="007B30EA">
        <w:rPr>
          <w:rFonts w:cs="Arial"/>
        </w:rPr>
        <w:t xml:space="preserve">Por lo que lo opinión vertida por </w:t>
      </w:r>
      <w:r w:rsidR="007B30EA">
        <w:rPr>
          <w:rFonts w:cs="Arial"/>
          <w:i/>
        </w:rPr>
        <w:t xml:space="preserve">El Eco del Comercio </w:t>
      </w:r>
      <w:r w:rsidR="007B30EA">
        <w:rPr>
          <w:rFonts w:cs="Arial"/>
        </w:rPr>
        <w:t xml:space="preserve">no </w:t>
      </w:r>
      <w:r w:rsidR="00BC1F74">
        <w:rPr>
          <w:rFonts w:cs="Arial"/>
        </w:rPr>
        <w:t xml:space="preserve">pudo </w:t>
      </w:r>
      <w:r w:rsidR="007B30EA">
        <w:rPr>
          <w:rFonts w:cs="Arial"/>
        </w:rPr>
        <w:t>ser cotejad</w:t>
      </w:r>
      <w:r w:rsidR="00BC1F74">
        <w:rPr>
          <w:rFonts w:cs="Arial"/>
        </w:rPr>
        <w:t>a</w:t>
      </w:r>
      <w:r w:rsidR="007B30EA">
        <w:rPr>
          <w:rFonts w:cs="Arial"/>
        </w:rPr>
        <w:t xml:space="preserve"> con l</w:t>
      </w:r>
      <w:r w:rsidR="006757A8">
        <w:rPr>
          <w:rFonts w:cs="Arial"/>
        </w:rPr>
        <w:t xml:space="preserve">a de los </w:t>
      </w:r>
      <w:r w:rsidR="007B30EA">
        <w:rPr>
          <w:rFonts w:cs="Arial"/>
        </w:rPr>
        <w:t>peritos legistas.</w:t>
      </w:r>
      <w:r w:rsidR="00BB3CF7">
        <w:rPr>
          <w:rStyle w:val="Refdenotaalpie"/>
          <w:rFonts w:cs="Arial"/>
        </w:rPr>
        <w:footnoteReference w:id="1"/>
      </w:r>
      <w:r w:rsidR="004752D0" w:rsidRPr="007B30EA">
        <w:rPr>
          <w:rFonts w:cs="Arial"/>
        </w:rPr>
        <w:t xml:space="preserve"> </w:t>
      </w:r>
    </w:p>
    <w:p w14:paraId="36B7F1F8" w14:textId="4638D040" w:rsidR="00BB1E28" w:rsidRDefault="00B33A85" w:rsidP="00524E13">
      <w:pPr>
        <w:spacing w:line="360" w:lineRule="auto"/>
        <w:ind w:firstLine="708"/>
        <w:jc w:val="both"/>
        <w:rPr>
          <w:rFonts w:cs="Arial"/>
        </w:rPr>
      </w:pPr>
      <w:r>
        <w:rPr>
          <w:rFonts w:cs="Arial"/>
        </w:rPr>
        <w:t xml:space="preserve">El crimen de Tekax de 1890 podría coincidir con </w:t>
      </w:r>
      <w:r w:rsidR="00174AD0" w:rsidRPr="00174AD0">
        <w:rPr>
          <w:rFonts w:cs="Arial"/>
        </w:rPr>
        <w:t>R</w:t>
      </w:r>
      <w:r>
        <w:rPr>
          <w:rFonts w:cs="Arial"/>
        </w:rPr>
        <w:t>.</w:t>
      </w:r>
      <w:r w:rsidR="00174AD0" w:rsidRPr="00174AD0">
        <w:rPr>
          <w:rFonts w:cs="Arial"/>
        </w:rPr>
        <w:t xml:space="preserve"> Darton</w:t>
      </w:r>
      <w:r>
        <w:rPr>
          <w:rFonts w:cs="Arial"/>
        </w:rPr>
        <w:t xml:space="preserve">, quien, sostiene que en ocasiones la </w:t>
      </w:r>
      <w:r w:rsidR="002C0BE4">
        <w:rPr>
          <w:rFonts w:cs="Arial"/>
        </w:rPr>
        <w:t>é</w:t>
      </w:r>
      <w:r>
        <w:rPr>
          <w:rFonts w:cs="Arial"/>
        </w:rPr>
        <w:t xml:space="preserve">lite intelectual confronta a la élite política y económica, </w:t>
      </w:r>
      <w:r w:rsidR="00174AD0" w:rsidRPr="00174AD0">
        <w:rPr>
          <w:rFonts w:cs="Arial"/>
        </w:rPr>
        <w:t>(1987</w:t>
      </w:r>
      <w:r w:rsidR="004853D5">
        <w:rPr>
          <w:rFonts w:cs="Arial"/>
        </w:rPr>
        <w:t>:</w:t>
      </w:r>
      <w:r w:rsidR="00174AD0" w:rsidRPr="00174AD0">
        <w:rPr>
          <w:rFonts w:cs="Arial"/>
        </w:rPr>
        <w:t xml:space="preserve"> 46-150)</w:t>
      </w:r>
      <w:r>
        <w:rPr>
          <w:rFonts w:cs="Arial"/>
        </w:rPr>
        <w:t>, en este caso</w:t>
      </w:r>
      <w:r w:rsidR="002C0BE4">
        <w:rPr>
          <w:rFonts w:cs="Arial"/>
        </w:rPr>
        <w:t xml:space="preserve"> los periodistas con</w:t>
      </w:r>
      <w:r>
        <w:rPr>
          <w:rFonts w:cs="Arial"/>
        </w:rPr>
        <w:t xml:space="preserve"> los hacendados y su forma de</w:t>
      </w:r>
      <w:r w:rsidR="00F52C73">
        <w:rPr>
          <w:rFonts w:cs="Arial"/>
        </w:rPr>
        <w:t xml:space="preserve"> ejercer</w:t>
      </w:r>
      <w:r>
        <w:rPr>
          <w:rFonts w:cs="Arial"/>
        </w:rPr>
        <w:t xml:space="preserve"> control en las haciendas. </w:t>
      </w:r>
      <w:r w:rsidR="00F73E71">
        <w:rPr>
          <w:rFonts w:cs="Arial"/>
        </w:rPr>
        <w:t>L</w:t>
      </w:r>
      <w:r w:rsidR="00174AD0" w:rsidRPr="00174AD0">
        <w:rPr>
          <w:rFonts w:cs="Arial"/>
        </w:rPr>
        <w:t xml:space="preserve">a noticia </w:t>
      </w:r>
      <w:r w:rsidR="00BC1F74">
        <w:rPr>
          <w:rFonts w:cs="Arial"/>
        </w:rPr>
        <w:t xml:space="preserve">del crimen </w:t>
      </w:r>
      <w:r w:rsidR="00174AD0" w:rsidRPr="00174AD0">
        <w:rPr>
          <w:rFonts w:cs="Arial"/>
        </w:rPr>
        <w:t>es una expresión que relata hechos</w:t>
      </w:r>
      <w:r>
        <w:rPr>
          <w:rFonts w:cs="Arial"/>
        </w:rPr>
        <w:t xml:space="preserve">, sin </w:t>
      </w:r>
      <w:r w:rsidR="00BC1F74">
        <w:rPr>
          <w:rFonts w:cs="Arial"/>
        </w:rPr>
        <w:t>embargo,</w:t>
      </w:r>
      <w:r>
        <w:rPr>
          <w:rFonts w:cs="Arial"/>
        </w:rPr>
        <w:t xml:space="preserve"> </w:t>
      </w:r>
      <w:r w:rsidR="00174AD0" w:rsidRPr="00174AD0">
        <w:rPr>
          <w:rFonts w:cs="Arial"/>
        </w:rPr>
        <w:t>es susceptible de una orientación tanto ideológica como política</w:t>
      </w:r>
      <w:r w:rsidR="00F52C73">
        <w:rPr>
          <w:rFonts w:cs="Arial"/>
        </w:rPr>
        <w:t xml:space="preserve"> (Canto, 2006</w:t>
      </w:r>
      <w:r w:rsidR="00BC1F74">
        <w:rPr>
          <w:rFonts w:cs="Arial"/>
        </w:rPr>
        <w:t>). Este</w:t>
      </w:r>
      <w:r>
        <w:rPr>
          <w:rFonts w:cs="Arial"/>
          <w:u w:val="words"/>
        </w:rPr>
        <w:t xml:space="preserve"> </w:t>
      </w:r>
      <w:r w:rsidRPr="00AB0FCF">
        <w:rPr>
          <w:rFonts w:cs="Arial"/>
        </w:rPr>
        <w:t xml:space="preserve">crimen </w:t>
      </w:r>
      <w:r w:rsidR="001F558D" w:rsidRPr="00AB0FCF">
        <w:rPr>
          <w:rFonts w:cs="Arial"/>
        </w:rPr>
        <w:t>sucedió</w:t>
      </w:r>
      <w:r w:rsidRPr="00AB0FCF">
        <w:rPr>
          <w:rFonts w:cs="Arial"/>
        </w:rPr>
        <w:t xml:space="preserve"> seis años a</w:t>
      </w:r>
      <w:r w:rsidR="00BC1F74" w:rsidRPr="00AB0FCF">
        <w:rPr>
          <w:rFonts w:cs="Arial"/>
        </w:rPr>
        <w:t>ntes</w:t>
      </w:r>
      <w:r w:rsidRPr="00AB0FCF">
        <w:rPr>
          <w:rFonts w:cs="Arial"/>
        </w:rPr>
        <w:t xml:space="preserve"> de</w:t>
      </w:r>
      <w:r w:rsidR="00BB1E28" w:rsidRPr="00AB0FCF">
        <w:rPr>
          <w:rFonts w:cs="Arial"/>
        </w:rPr>
        <w:t>l</w:t>
      </w:r>
      <w:r w:rsidR="00BB1E28">
        <w:rPr>
          <w:rFonts w:cs="Arial"/>
        </w:rPr>
        <w:t xml:space="preserve"> Congreso Agrícola celebrado en 1896 en Tuxtla Gutiérrez</w:t>
      </w:r>
      <w:r>
        <w:rPr>
          <w:rFonts w:cs="Arial"/>
        </w:rPr>
        <w:t xml:space="preserve">, evento en donde se </w:t>
      </w:r>
      <w:r w:rsidR="00BB1E28">
        <w:rPr>
          <w:rFonts w:cs="Arial"/>
        </w:rPr>
        <w:t xml:space="preserve">discutió el sistema de endeudamiento y la administración de justicia </w:t>
      </w:r>
      <w:r w:rsidR="00BC1F74">
        <w:rPr>
          <w:rFonts w:cs="Arial"/>
        </w:rPr>
        <w:t xml:space="preserve">requerida, </w:t>
      </w:r>
      <w:r w:rsidR="00BB1E28">
        <w:rPr>
          <w:rFonts w:cs="Arial"/>
        </w:rPr>
        <w:t>así como su continuidad (</w:t>
      </w:r>
      <w:r>
        <w:rPr>
          <w:rFonts w:cs="Arial"/>
        </w:rPr>
        <w:t xml:space="preserve">Rodríguez, </w:t>
      </w:r>
      <w:r w:rsidR="00BB1E28">
        <w:rPr>
          <w:rFonts w:cs="Arial"/>
        </w:rPr>
        <w:t>1997).</w:t>
      </w:r>
    </w:p>
    <w:p w14:paraId="4EB711D2" w14:textId="2DD4F1C8" w:rsidR="003B1C4C" w:rsidRPr="007B30EA" w:rsidRDefault="00586FF4" w:rsidP="00524E13">
      <w:pPr>
        <w:spacing w:line="360" w:lineRule="auto"/>
        <w:ind w:firstLine="708"/>
        <w:jc w:val="both"/>
        <w:rPr>
          <w:rFonts w:cs="Arial"/>
        </w:rPr>
      </w:pPr>
      <w:r>
        <w:rPr>
          <w:rFonts w:cs="Arial"/>
        </w:rPr>
        <w:t>Por tanto, e</w:t>
      </w:r>
      <w:r w:rsidR="00BB1E28">
        <w:rPr>
          <w:rFonts w:cs="Arial"/>
        </w:rPr>
        <w:t>ste trabajo dem</w:t>
      </w:r>
      <w:r w:rsidR="002C0BE4">
        <w:rPr>
          <w:rFonts w:cs="Arial"/>
        </w:rPr>
        <w:t>ue</w:t>
      </w:r>
      <w:r w:rsidR="00BB1E28">
        <w:rPr>
          <w:rFonts w:cs="Arial"/>
        </w:rPr>
        <w:t xml:space="preserve">stra que a finales del siglo XX la </w:t>
      </w:r>
      <w:r w:rsidR="002C0BE4">
        <w:rPr>
          <w:rFonts w:cs="Arial"/>
        </w:rPr>
        <w:t>é</w:t>
      </w:r>
      <w:r w:rsidR="00BB1E28">
        <w:rPr>
          <w:rFonts w:cs="Arial"/>
        </w:rPr>
        <w:t>lite periodística criticaba las condiciones de vida de los peones en las haciendas de Yucatán</w:t>
      </w:r>
      <w:r w:rsidR="00EE6FCA">
        <w:rPr>
          <w:rFonts w:cs="Arial"/>
        </w:rPr>
        <w:t xml:space="preserve"> </w:t>
      </w:r>
      <w:r w:rsidR="001F558D">
        <w:rPr>
          <w:rFonts w:cs="Arial"/>
        </w:rPr>
        <w:t>quienes sustentaban</w:t>
      </w:r>
      <w:r w:rsidR="00EE6FCA">
        <w:rPr>
          <w:rFonts w:cs="Arial"/>
        </w:rPr>
        <w:t xml:space="preserve"> </w:t>
      </w:r>
      <w:r w:rsidR="001F558D">
        <w:rPr>
          <w:rFonts w:cs="Arial"/>
        </w:rPr>
        <w:t xml:space="preserve">la próspera </w:t>
      </w:r>
      <w:r w:rsidR="002C0BE4">
        <w:rPr>
          <w:rFonts w:cs="Arial"/>
        </w:rPr>
        <w:t>economía</w:t>
      </w:r>
      <w:r w:rsidR="001F558D">
        <w:rPr>
          <w:rFonts w:cs="Arial"/>
        </w:rPr>
        <w:t xml:space="preserve"> de</w:t>
      </w:r>
      <w:r w:rsidR="00EE6FCA">
        <w:rPr>
          <w:rFonts w:cs="Arial"/>
        </w:rPr>
        <w:t xml:space="preserve"> Yucatán. E</w:t>
      </w:r>
      <w:r w:rsidR="00BB1E28">
        <w:rPr>
          <w:rFonts w:cs="Arial"/>
        </w:rPr>
        <w:t xml:space="preserve">l crimen de Tekax es un ejemplo de </w:t>
      </w:r>
      <w:r w:rsidR="002C0BE4">
        <w:rPr>
          <w:rFonts w:cs="Arial"/>
        </w:rPr>
        <w:t xml:space="preserve">la </w:t>
      </w:r>
      <w:r w:rsidR="00BB1E28">
        <w:rPr>
          <w:rFonts w:cs="Arial"/>
        </w:rPr>
        <w:t>crítica periodística</w:t>
      </w:r>
      <w:r w:rsidR="002C0BE4">
        <w:rPr>
          <w:rFonts w:cs="Arial"/>
        </w:rPr>
        <w:t xml:space="preserve">, donde desde </w:t>
      </w:r>
      <w:r w:rsidR="00BB1E28">
        <w:rPr>
          <w:rFonts w:cs="Arial"/>
        </w:rPr>
        <w:t xml:space="preserve">la nota roja </w:t>
      </w:r>
      <w:r w:rsidR="002C0BE4">
        <w:rPr>
          <w:rFonts w:cs="Arial"/>
        </w:rPr>
        <w:t>se introdujo</w:t>
      </w:r>
      <w:r w:rsidR="00EE6FCA">
        <w:rPr>
          <w:rFonts w:cs="Arial"/>
        </w:rPr>
        <w:t xml:space="preserve"> </w:t>
      </w:r>
      <w:r>
        <w:rPr>
          <w:rFonts w:cs="Arial"/>
        </w:rPr>
        <w:t xml:space="preserve">una </w:t>
      </w:r>
      <w:r w:rsidR="000820A7">
        <w:rPr>
          <w:rFonts w:cs="Arial"/>
        </w:rPr>
        <w:t xml:space="preserve">reflexión </w:t>
      </w:r>
      <w:r>
        <w:rPr>
          <w:rFonts w:cs="Arial"/>
        </w:rPr>
        <w:t xml:space="preserve">social sobre los modos de control y sujeción de las haciendas </w:t>
      </w:r>
      <w:r w:rsidR="00913B3F">
        <w:rPr>
          <w:rFonts w:cs="Arial"/>
        </w:rPr>
        <w:t>hene</w:t>
      </w:r>
      <w:r>
        <w:rPr>
          <w:rFonts w:cs="Arial"/>
        </w:rPr>
        <w:t>quen</w:t>
      </w:r>
      <w:r w:rsidR="00913B3F">
        <w:rPr>
          <w:rFonts w:cs="Arial"/>
        </w:rPr>
        <w:t>er</w:t>
      </w:r>
      <w:r>
        <w:rPr>
          <w:rFonts w:cs="Arial"/>
        </w:rPr>
        <w:t>as.</w:t>
      </w:r>
      <w:r w:rsidR="00913B3F">
        <w:rPr>
          <w:rFonts w:cs="Arial"/>
        </w:rPr>
        <w:t xml:space="preserve"> </w:t>
      </w:r>
      <w:r w:rsidR="00EE6FCA">
        <w:rPr>
          <w:rFonts w:cs="Arial"/>
        </w:rPr>
        <w:t xml:space="preserve">En dicho tenor, según </w:t>
      </w:r>
      <w:r w:rsidR="00913B3F" w:rsidRPr="00C04EB6">
        <w:t>García y Solís</w:t>
      </w:r>
      <w:r w:rsidR="00EE6FCA">
        <w:t>,</w:t>
      </w:r>
      <w:r w:rsidR="00913B3F" w:rsidRPr="00C04EB6">
        <w:t xml:space="preserve"> </w:t>
      </w:r>
      <w:r w:rsidR="00EE6FCA">
        <w:t>la</w:t>
      </w:r>
      <w:r w:rsidR="00913B3F" w:rsidRPr="00C04EB6">
        <w:t xml:space="preserve"> </w:t>
      </w:r>
      <w:r w:rsidR="00913B3F" w:rsidRPr="00C04EB6">
        <w:lastRenderedPageBreak/>
        <w:t xml:space="preserve">nota roja es la información que </w:t>
      </w:r>
      <w:r w:rsidR="00913B3F">
        <w:t xml:space="preserve">relata </w:t>
      </w:r>
      <w:r w:rsidR="00913B3F" w:rsidRPr="00C04EB6">
        <w:t>la procuración de justicia</w:t>
      </w:r>
      <w:r w:rsidR="00913B3F">
        <w:t xml:space="preserve"> sobre lo que está o no permitido por la ley (1999</w:t>
      </w:r>
      <w:r w:rsidR="004853D5">
        <w:t>:</w:t>
      </w:r>
      <w:r w:rsidR="00913B3F">
        <w:t xml:space="preserve"> 11).</w:t>
      </w:r>
      <w:r w:rsidR="00913B3F" w:rsidRPr="00C04EB6">
        <w:t xml:space="preserve"> </w:t>
      </w:r>
      <w:r w:rsidR="00BB1E28">
        <w:rPr>
          <w:rFonts w:cs="Arial"/>
        </w:rPr>
        <w:t xml:space="preserve">  </w:t>
      </w:r>
    </w:p>
    <w:p w14:paraId="4BD23070" w14:textId="73B232B0" w:rsidR="001A7F1F" w:rsidRDefault="004752D0" w:rsidP="0046666C">
      <w:pPr>
        <w:spacing w:line="360" w:lineRule="auto"/>
        <w:jc w:val="both"/>
        <w:rPr>
          <w:rFonts w:cs="Arial"/>
          <w:b/>
        </w:rPr>
      </w:pPr>
      <w:r w:rsidRPr="007B30EA">
        <w:rPr>
          <w:rFonts w:cs="Arial"/>
        </w:rPr>
        <w:tab/>
      </w:r>
      <w:r w:rsidR="0046666C" w:rsidRPr="007B30EA">
        <w:rPr>
          <w:rFonts w:cs="Arial"/>
        </w:rPr>
        <w:t>Para contextualizar</w:t>
      </w:r>
      <w:r w:rsidRPr="007B30EA">
        <w:rPr>
          <w:rFonts w:cs="Arial"/>
        </w:rPr>
        <w:t xml:space="preserve"> </w:t>
      </w:r>
      <w:r w:rsidR="0046666C" w:rsidRPr="007B30EA">
        <w:rPr>
          <w:rFonts w:cs="Arial"/>
        </w:rPr>
        <w:t xml:space="preserve">este </w:t>
      </w:r>
      <w:r w:rsidRPr="007B30EA">
        <w:rPr>
          <w:rFonts w:cs="Arial"/>
        </w:rPr>
        <w:t xml:space="preserve">homicidio </w:t>
      </w:r>
      <w:r w:rsidR="002C0BE4">
        <w:rPr>
          <w:rFonts w:cs="Arial"/>
        </w:rPr>
        <w:t xml:space="preserve">a continuación </w:t>
      </w:r>
      <w:r w:rsidR="00162FE3">
        <w:rPr>
          <w:rFonts w:cs="Arial"/>
        </w:rPr>
        <w:t xml:space="preserve">se describe </w:t>
      </w:r>
      <w:r w:rsidR="0046666C" w:rsidRPr="00711701">
        <w:rPr>
          <w:rFonts w:cs="Arial"/>
        </w:rPr>
        <w:t>la relación entre hacendados y jornaleros</w:t>
      </w:r>
      <w:r w:rsidR="0046666C" w:rsidRPr="00AE36DB">
        <w:rPr>
          <w:rFonts w:cs="Arial"/>
        </w:rPr>
        <w:t xml:space="preserve"> en Yucatán</w:t>
      </w:r>
      <w:r w:rsidR="00CE1084">
        <w:rPr>
          <w:rFonts w:cs="Arial"/>
        </w:rPr>
        <w:t xml:space="preserve"> y </w:t>
      </w:r>
      <w:r w:rsidR="00162FE3">
        <w:rPr>
          <w:rFonts w:cs="Arial"/>
        </w:rPr>
        <w:t>la</w:t>
      </w:r>
      <w:r w:rsidR="009C6576">
        <w:rPr>
          <w:rFonts w:cs="Arial"/>
        </w:rPr>
        <w:t xml:space="preserve"> narración sobre la nota roja.</w:t>
      </w:r>
    </w:p>
    <w:p w14:paraId="5443FC79" w14:textId="77777777" w:rsidR="0099510F" w:rsidRDefault="0099510F" w:rsidP="0046666C">
      <w:pPr>
        <w:spacing w:line="360" w:lineRule="auto"/>
        <w:jc w:val="both"/>
        <w:rPr>
          <w:rFonts w:cs="Arial"/>
          <w:b/>
        </w:rPr>
      </w:pPr>
    </w:p>
    <w:p w14:paraId="6821D843" w14:textId="164F6E45" w:rsidR="00946942" w:rsidRDefault="00946942" w:rsidP="00946942">
      <w:pPr>
        <w:spacing w:line="360" w:lineRule="auto"/>
        <w:jc w:val="both"/>
        <w:rPr>
          <w:rFonts w:cs="Arial"/>
          <w:b/>
          <w:sz w:val="22"/>
          <w:szCs w:val="22"/>
        </w:rPr>
      </w:pPr>
      <w:r>
        <w:rPr>
          <w:rFonts w:cs="Arial"/>
          <w:b/>
        </w:rPr>
        <w:t>El crimen como objeto de estudio de la historia</w:t>
      </w:r>
    </w:p>
    <w:p w14:paraId="7572670A" w14:textId="7BC9EDDD" w:rsidR="00946942" w:rsidRDefault="00946942" w:rsidP="00946942">
      <w:pPr>
        <w:spacing w:line="360" w:lineRule="auto"/>
        <w:jc w:val="both"/>
        <w:rPr>
          <w:rFonts w:cstheme="minorBidi"/>
        </w:rPr>
      </w:pPr>
      <w:r>
        <w:t xml:space="preserve">Hay varios autores que han abordado el crimen durante el siglo XIX en México desde la Historia: Piccato (1997), E. Speckman (1997), Castillo (1998), han </w:t>
      </w:r>
      <w:r w:rsidR="00FE3A9D">
        <w:t>retomado</w:t>
      </w:r>
      <w:r>
        <w:t xml:space="preserve"> el discurso positivista moralista de la </w:t>
      </w:r>
      <w:r w:rsidR="00162FE3">
        <w:t>é</w:t>
      </w:r>
      <w:r>
        <w:t>lite de la Ciudad de México sobre el crimen y otras acciones indeseadas como el suicidio</w:t>
      </w:r>
      <w:r w:rsidR="00FE3A9D">
        <w:t xml:space="preserve"> (tanto en hombres como en mujeres)</w:t>
      </w:r>
      <w:r>
        <w:t xml:space="preserve">, pero todos los actores inmersos </w:t>
      </w:r>
      <w:r w:rsidRPr="00FF54DA">
        <w:t xml:space="preserve">pertenecen </w:t>
      </w:r>
      <w:r w:rsidR="00FF54DA">
        <w:t xml:space="preserve">al </w:t>
      </w:r>
      <w:r w:rsidR="009D066A" w:rsidRPr="00FF54DA">
        <w:t>mismo</w:t>
      </w:r>
      <w:r w:rsidRPr="00FF54DA">
        <w:t xml:space="preserve"> estrato</w:t>
      </w:r>
      <w:r w:rsidR="009D066A" w:rsidRPr="00FF54DA">
        <w:t xml:space="preserve"> </w:t>
      </w:r>
      <w:r w:rsidRPr="00FF54DA">
        <w:t>social</w:t>
      </w:r>
      <w:r w:rsidR="009D066A">
        <w:t>,</w:t>
      </w:r>
      <w:r>
        <w:t xml:space="preserve"> es decir tanto víctima como victimario. En el caso de la península de Yucatán Canto (2006, 201</w:t>
      </w:r>
      <w:r w:rsidR="006F4366">
        <w:t>2,</w:t>
      </w:r>
      <w:r w:rsidR="00BC3498">
        <w:t xml:space="preserve"> 2016 y 2018) y </w:t>
      </w:r>
      <w:r>
        <w:t xml:space="preserve">Canto y Yanes (2018) </w:t>
      </w:r>
      <w:r w:rsidR="00971673">
        <w:t>estudian</w:t>
      </w:r>
      <w:r>
        <w:t xml:space="preserve"> el suicidio desde la nota periodística, al igual que en documentos judiciales</w:t>
      </w:r>
      <w:r w:rsidR="00162FE3">
        <w:t xml:space="preserve"> y</w:t>
      </w:r>
      <w:r>
        <w:t xml:space="preserve"> </w:t>
      </w:r>
      <w:r w:rsidR="00162FE3">
        <w:t>dan</w:t>
      </w:r>
      <w:r w:rsidR="00971673">
        <w:t xml:space="preserve"> evidencias del</w:t>
      </w:r>
      <w:r>
        <w:t xml:space="preserve"> discurso moralizador de la élite sobre </w:t>
      </w:r>
      <w:r w:rsidR="00971673">
        <w:t>las</w:t>
      </w:r>
      <w:r>
        <w:t xml:space="preserve"> acciones</w:t>
      </w:r>
      <w:r w:rsidR="00971673">
        <w:t xml:space="preserve"> de </w:t>
      </w:r>
      <w:r>
        <w:t xml:space="preserve">actores </w:t>
      </w:r>
      <w:r w:rsidR="00971673">
        <w:t xml:space="preserve">que </w:t>
      </w:r>
      <w:r>
        <w:t xml:space="preserve">pertenecen a </w:t>
      </w:r>
      <w:r w:rsidR="009D066A">
        <w:t>diferentes</w:t>
      </w:r>
      <w:r>
        <w:t xml:space="preserve"> estratos sociales</w:t>
      </w:r>
      <w:r w:rsidR="009D066A">
        <w:t>, incluyendo los</w:t>
      </w:r>
      <w:r>
        <w:t xml:space="preserve"> menos favorecidos. </w:t>
      </w:r>
      <w:r w:rsidR="009D066A">
        <w:t xml:space="preserve">La hipótesis es que </w:t>
      </w:r>
      <w:r w:rsidR="00971673">
        <w:t>en</w:t>
      </w:r>
      <w:r w:rsidR="00FE3A9D">
        <w:t xml:space="preserve"> </w:t>
      </w:r>
      <w:r w:rsidR="00FF54DA">
        <w:t xml:space="preserve">el </w:t>
      </w:r>
      <w:r w:rsidR="00FE3A9D">
        <w:t xml:space="preserve">momento de narrar notas rojas sobre crímenes que se registraban en las </w:t>
      </w:r>
      <w:r>
        <w:t xml:space="preserve">haciendas </w:t>
      </w:r>
      <w:r w:rsidR="00FE3A9D">
        <w:t xml:space="preserve">del Yucatán rural, </w:t>
      </w:r>
      <w:r w:rsidR="009D066A">
        <w:t xml:space="preserve">existe </w:t>
      </w:r>
      <w:r w:rsidR="00971673">
        <w:t xml:space="preserve">una </w:t>
      </w:r>
      <w:r w:rsidR="009D066A">
        <w:t>crítica</w:t>
      </w:r>
      <w:r>
        <w:t xml:space="preserve"> </w:t>
      </w:r>
      <w:r w:rsidR="009D066A">
        <w:t>d</w:t>
      </w:r>
      <w:r>
        <w:t>el modelo de producción</w:t>
      </w:r>
      <w:r w:rsidR="00971673">
        <w:t>, más allá de los actores</w:t>
      </w:r>
      <w:r>
        <w:t>. Por tal motivo, este trabajo abona al conocimiento científico, al dilucidar sobre el interés de</w:t>
      </w:r>
      <w:r w:rsidR="00971673">
        <w:t>l periódico</w:t>
      </w:r>
      <w:r>
        <w:t xml:space="preserve"> </w:t>
      </w:r>
      <w:r>
        <w:rPr>
          <w:i/>
        </w:rPr>
        <w:t xml:space="preserve">El Eco </w:t>
      </w:r>
      <w:r w:rsidR="00971673">
        <w:t>y</w:t>
      </w:r>
      <w:r>
        <w:t xml:space="preserve"> su insistencia</w:t>
      </w:r>
      <w:r w:rsidR="00FE3A9D">
        <w:t xml:space="preserve"> reiterada en informar sobre una muerte acontecida en Tekax.</w:t>
      </w:r>
      <w:r>
        <w:t xml:space="preserve"> </w:t>
      </w:r>
    </w:p>
    <w:p w14:paraId="4F398912" w14:textId="77777777" w:rsidR="0099510F" w:rsidRDefault="0099510F" w:rsidP="0046666C">
      <w:pPr>
        <w:spacing w:line="360" w:lineRule="auto"/>
        <w:jc w:val="both"/>
        <w:rPr>
          <w:rFonts w:cs="Arial"/>
        </w:rPr>
      </w:pPr>
    </w:p>
    <w:p w14:paraId="6D4E3BDE" w14:textId="77777777" w:rsidR="00E35CF9" w:rsidRDefault="00E35CF9" w:rsidP="006A0D1F">
      <w:pPr>
        <w:spacing w:line="480" w:lineRule="auto"/>
        <w:jc w:val="both"/>
        <w:rPr>
          <w:b/>
        </w:rPr>
      </w:pPr>
      <w:r w:rsidRPr="00AB506C">
        <w:rPr>
          <w:b/>
        </w:rPr>
        <w:t>Los jornaleros y las haciendas durante el último cuarto del siglo XIX en Yucatán</w:t>
      </w:r>
    </w:p>
    <w:p w14:paraId="47832C39" w14:textId="1837ADAB" w:rsidR="003D71E8" w:rsidRDefault="00C641E1" w:rsidP="003D71E8">
      <w:pPr>
        <w:spacing w:line="480" w:lineRule="auto"/>
        <w:jc w:val="both"/>
      </w:pPr>
      <w:r w:rsidRPr="00AB506C">
        <w:t xml:space="preserve">La historiografía dice que </w:t>
      </w:r>
      <w:r w:rsidR="00B37F11">
        <w:t xml:space="preserve">al terminar el siglo XIX </w:t>
      </w:r>
      <w:r>
        <w:t xml:space="preserve">en </w:t>
      </w:r>
      <w:r w:rsidRPr="00AB506C">
        <w:t>México la propiedad estaba concentrada en unas pocas manos</w:t>
      </w:r>
      <w:r w:rsidR="00971673">
        <w:t xml:space="preserve">. </w:t>
      </w:r>
      <w:r w:rsidR="00497E6A">
        <w:t>Y el sustento legislativo era tal</w:t>
      </w:r>
      <w:r w:rsidR="009D066A">
        <w:t xml:space="preserve"> que</w:t>
      </w:r>
      <w:r w:rsidR="00B37F11">
        <w:t xml:space="preserve"> la ley de 1894 permitió a las haciendas absorber las tierras de los indígenas, tanto baldías como comunales, es por ello que el 97% de las tierras estaba en manos de los hacendados y terratenientes, mientras que sólo el 1% siguió siendo comunal</w:t>
      </w:r>
      <w:r w:rsidR="009176D2">
        <w:t xml:space="preserve">; </w:t>
      </w:r>
      <w:r w:rsidR="00971673">
        <w:t xml:space="preserve">así </w:t>
      </w:r>
      <w:r w:rsidR="009176D2">
        <w:t xml:space="preserve">los indígenas perdieron </w:t>
      </w:r>
      <w:r w:rsidR="00971673">
        <w:t xml:space="preserve">la propiedad de </w:t>
      </w:r>
      <w:r w:rsidR="009176D2">
        <w:t>las tierras donde sembraban maíz y otros productos</w:t>
      </w:r>
      <w:r w:rsidR="00B37F11">
        <w:t xml:space="preserve"> </w:t>
      </w:r>
      <w:r>
        <w:t xml:space="preserve"> (González Navarro, 1970</w:t>
      </w:r>
      <w:r w:rsidR="00562C37">
        <w:t>:</w:t>
      </w:r>
      <w:r>
        <w:t xml:space="preserve"> </w:t>
      </w:r>
      <w:r w:rsidR="009176D2">
        <w:t xml:space="preserve">179- </w:t>
      </w:r>
      <w:r>
        <w:t>194</w:t>
      </w:r>
      <w:r w:rsidR="009176D2">
        <w:t>;</w:t>
      </w:r>
      <w:r w:rsidR="003D70DC" w:rsidRPr="00AB506C">
        <w:t xml:space="preserve"> </w:t>
      </w:r>
      <w:r w:rsidR="003D70DC" w:rsidRPr="00711701">
        <w:rPr>
          <w:lang w:val="es-ES"/>
        </w:rPr>
        <w:t>Santos Dos Soler, 1986</w:t>
      </w:r>
      <w:r w:rsidR="004853D5">
        <w:rPr>
          <w:lang w:val="es-ES"/>
        </w:rPr>
        <w:t>:</w:t>
      </w:r>
      <w:r w:rsidR="003D70DC" w:rsidRPr="00711701">
        <w:rPr>
          <w:lang w:val="es-ES"/>
        </w:rPr>
        <w:t xml:space="preserve"> 197</w:t>
      </w:r>
      <w:r w:rsidR="00F84767">
        <w:rPr>
          <w:lang w:val="es-ES"/>
        </w:rPr>
        <w:t xml:space="preserve">; González Navarro, </w:t>
      </w:r>
      <w:r w:rsidR="00476AFB">
        <w:rPr>
          <w:lang w:val="es-ES"/>
        </w:rPr>
        <w:t>1994</w:t>
      </w:r>
      <w:r w:rsidR="004853D5">
        <w:rPr>
          <w:lang w:val="es-ES"/>
        </w:rPr>
        <w:t>:</w:t>
      </w:r>
      <w:r w:rsidR="00476AFB">
        <w:rPr>
          <w:lang w:val="es-ES"/>
        </w:rPr>
        <w:t xml:space="preserve"> </w:t>
      </w:r>
      <w:r w:rsidR="00F84767">
        <w:rPr>
          <w:lang w:val="es-ES"/>
        </w:rPr>
        <w:t>66-81</w:t>
      </w:r>
      <w:r w:rsidR="003D70DC" w:rsidRPr="00711701">
        <w:rPr>
          <w:lang w:val="es-ES"/>
        </w:rPr>
        <w:t>)</w:t>
      </w:r>
      <w:r w:rsidR="00540A57">
        <w:t xml:space="preserve">. </w:t>
      </w:r>
      <w:r w:rsidR="00540A57" w:rsidRPr="00540A57">
        <w:t>De acuerdo con González Navarro, el cultivo de henequén se extendió</w:t>
      </w:r>
      <w:r w:rsidR="009D066A">
        <w:t xml:space="preserve"> desde </w:t>
      </w:r>
      <w:r w:rsidR="00497E6A">
        <w:t>1850</w:t>
      </w:r>
      <w:r w:rsidR="00540A57" w:rsidRPr="00540A57">
        <w:t xml:space="preserve"> gracias a la enajenación legal de tierras baldías y comunales</w:t>
      </w:r>
      <w:r w:rsidR="00540A57">
        <w:t xml:space="preserve"> </w:t>
      </w:r>
      <w:r w:rsidR="00540A57" w:rsidRPr="007151B3">
        <w:t>(</w:t>
      </w:r>
      <w:r w:rsidR="007151B3" w:rsidRPr="007151B3">
        <w:t>1994</w:t>
      </w:r>
      <w:r w:rsidR="00540A57" w:rsidRPr="007151B3">
        <w:t>).</w:t>
      </w:r>
      <w:r w:rsidR="00540A57" w:rsidRPr="00540A57">
        <w:t xml:space="preserve"> </w:t>
      </w:r>
      <w:r w:rsidR="00192D67">
        <w:t>Ante la falta de tierras para sembrar</w:t>
      </w:r>
      <w:r w:rsidR="007E6ABC">
        <w:t>,</w:t>
      </w:r>
      <w:r w:rsidR="00192D67">
        <w:t xml:space="preserve"> l</w:t>
      </w:r>
      <w:r w:rsidR="006A0D1F" w:rsidRPr="00AB506C">
        <w:t>os indígenas mayas trabajaban jornadas extensivas</w:t>
      </w:r>
      <w:r w:rsidR="007151B3">
        <w:t xml:space="preserve"> empleados bajo el esquema de las </w:t>
      </w:r>
      <w:r w:rsidR="00540A57" w:rsidRPr="00540A57">
        <w:t xml:space="preserve">leyes de 1863 </w:t>
      </w:r>
      <w:r w:rsidR="007151B3">
        <w:t xml:space="preserve">que permitían tanto </w:t>
      </w:r>
      <w:r w:rsidR="00540A57" w:rsidRPr="00540A57">
        <w:t xml:space="preserve">el trabajo forzado </w:t>
      </w:r>
      <w:r w:rsidR="007151B3">
        <w:t xml:space="preserve">como </w:t>
      </w:r>
      <w:r w:rsidR="00540A57" w:rsidRPr="00540A57">
        <w:t>el endeudam</w:t>
      </w:r>
      <w:r w:rsidR="00540A57">
        <w:t>iento</w:t>
      </w:r>
      <w:r w:rsidR="009B7531" w:rsidRPr="00AB506C">
        <w:t xml:space="preserve"> </w:t>
      </w:r>
      <w:r w:rsidR="000B1228" w:rsidRPr="00AB506C">
        <w:t>(</w:t>
      </w:r>
      <w:r w:rsidR="000B1228" w:rsidRPr="00711701">
        <w:rPr>
          <w:lang w:val="es-ES"/>
        </w:rPr>
        <w:t>Alamilla y Pellicer, 1994</w:t>
      </w:r>
      <w:r w:rsidR="004853D5">
        <w:rPr>
          <w:lang w:val="es-ES"/>
        </w:rPr>
        <w:t>:</w:t>
      </w:r>
      <w:r w:rsidR="000B1228" w:rsidRPr="00711701">
        <w:rPr>
          <w:lang w:val="es-ES"/>
        </w:rPr>
        <w:t xml:space="preserve"> 16-17</w:t>
      </w:r>
      <w:r w:rsidR="00476AFB">
        <w:rPr>
          <w:lang w:val="es-ES"/>
        </w:rPr>
        <w:t>; González Navarro, 1994</w:t>
      </w:r>
      <w:r w:rsidR="000B1228" w:rsidRPr="00AB506C">
        <w:t>).</w:t>
      </w:r>
      <w:r w:rsidR="00540A57" w:rsidRPr="00540A57">
        <w:t xml:space="preserve"> Los peones de las haciendas</w:t>
      </w:r>
      <w:r w:rsidR="007151B3">
        <w:t>, al</w:t>
      </w:r>
      <w:r w:rsidR="00540A57" w:rsidRPr="00540A57">
        <w:t xml:space="preserve"> recib</w:t>
      </w:r>
      <w:r w:rsidR="007151B3">
        <w:t xml:space="preserve">ir </w:t>
      </w:r>
      <w:r w:rsidR="00540A57" w:rsidRPr="00540A57">
        <w:t>bajos salarios</w:t>
      </w:r>
      <w:r w:rsidR="007151B3">
        <w:t>,</w:t>
      </w:r>
      <w:r w:rsidR="00540A57" w:rsidRPr="00540A57">
        <w:t xml:space="preserve"> recurr</w:t>
      </w:r>
      <w:r w:rsidR="007151B3">
        <w:t xml:space="preserve">ían </w:t>
      </w:r>
      <w:r w:rsidR="00540A57" w:rsidRPr="00540A57">
        <w:t>a préstamos</w:t>
      </w:r>
      <w:r w:rsidR="00540A57">
        <w:t xml:space="preserve"> y si no cumplían con sus obligaciones se les aplicaban castigos corporales</w:t>
      </w:r>
      <w:r w:rsidR="00540A57" w:rsidRPr="00540A57">
        <w:t xml:space="preserve">. </w:t>
      </w:r>
    </w:p>
    <w:p w14:paraId="7220C32A" w14:textId="08225D1F" w:rsidR="00675F73" w:rsidRDefault="00614D82" w:rsidP="003D71E8">
      <w:pPr>
        <w:spacing w:line="480" w:lineRule="auto"/>
        <w:ind w:firstLine="708"/>
        <w:jc w:val="both"/>
      </w:pPr>
      <w:r w:rsidRPr="00AB506C">
        <w:t xml:space="preserve">En </w:t>
      </w:r>
      <w:r w:rsidR="00F96461">
        <w:t>1909</w:t>
      </w:r>
      <w:r w:rsidRPr="00AB506C">
        <w:t xml:space="preserve"> </w:t>
      </w:r>
      <w:r w:rsidR="009B7531" w:rsidRPr="00AB506C">
        <w:t>Kenneth Turner</w:t>
      </w:r>
      <w:r w:rsidR="009B7531" w:rsidRPr="009B7BD5">
        <w:t xml:space="preserve"> </w:t>
      </w:r>
      <w:r w:rsidR="006A0D1F" w:rsidRPr="009B7BD5">
        <w:t>denunció</w:t>
      </w:r>
      <w:r w:rsidRPr="009B7BD5">
        <w:t xml:space="preserve"> </w:t>
      </w:r>
      <w:r w:rsidR="006A0D1F" w:rsidRPr="009B7BD5">
        <w:t>l</w:t>
      </w:r>
      <w:r w:rsidR="009B7531" w:rsidRPr="009B7BD5">
        <w:t xml:space="preserve">os abusos que los trabajadores </w:t>
      </w:r>
      <w:r w:rsidR="007151B3">
        <w:t>sufrían</w:t>
      </w:r>
      <w:r w:rsidR="009B7531" w:rsidRPr="009B7BD5">
        <w:t xml:space="preserve"> a manos de los</w:t>
      </w:r>
      <w:r w:rsidR="00AA1EC5" w:rsidRPr="009B7BD5">
        <w:t xml:space="preserve"> capataces y de los hacendados</w:t>
      </w:r>
      <w:r w:rsidR="00925C07">
        <w:t xml:space="preserve"> </w:t>
      </w:r>
      <w:r w:rsidR="007E6ABC">
        <w:t>en Yucatán</w:t>
      </w:r>
      <w:r w:rsidR="00540A57">
        <w:t xml:space="preserve"> en su libro </w:t>
      </w:r>
      <w:r w:rsidR="00540A57" w:rsidRPr="003D71E8">
        <w:rPr>
          <w:i/>
        </w:rPr>
        <w:t xml:space="preserve">México </w:t>
      </w:r>
      <w:r w:rsidR="003D71E8" w:rsidRPr="003D71E8">
        <w:rPr>
          <w:i/>
        </w:rPr>
        <w:t>Bárbaro</w:t>
      </w:r>
      <w:r w:rsidR="007E6ABC">
        <w:t xml:space="preserve"> </w:t>
      </w:r>
      <w:r w:rsidR="00925C07">
        <w:t>(González Navarro, 1970</w:t>
      </w:r>
      <w:r w:rsidR="004853D5">
        <w:t>:</w:t>
      </w:r>
      <w:r w:rsidR="00925C07">
        <w:t xml:space="preserve"> 203-204)</w:t>
      </w:r>
      <w:r w:rsidR="007E6ABC">
        <w:t xml:space="preserve">, </w:t>
      </w:r>
      <w:r w:rsidR="00F96461">
        <w:t>ahí describió</w:t>
      </w:r>
      <w:r w:rsidR="00F96461" w:rsidRPr="007E6ABC">
        <w:t xml:space="preserve"> </w:t>
      </w:r>
      <w:r w:rsidR="00F96461">
        <w:t>cómo el</w:t>
      </w:r>
      <w:r w:rsidR="0095027E">
        <w:t xml:space="preserve"> </w:t>
      </w:r>
      <w:r w:rsidR="009B7531" w:rsidRPr="007E6ABC">
        <w:t xml:space="preserve">cultivo del henequén </w:t>
      </w:r>
      <w:r w:rsidR="006A0D1F" w:rsidRPr="007E6ABC">
        <w:t>gener</w:t>
      </w:r>
      <w:r w:rsidR="005B3DDF">
        <w:t>ó</w:t>
      </w:r>
      <w:r w:rsidR="006A0D1F" w:rsidRPr="007E6ABC">
        <w:t xml:space="preserve"> una gran riqueza</w:t>
      </w:r>
      <w:r w:rsidR="007151B3">
        <w:t xml:space="preserve">. Afirmó que la oligarquía yucateca </w:t>
      </w:r>
      <w:r w:rsidR="00497E6A">
        <w:t>obtuvo una</w:t>
      </w:r>
      <w:r w:rsidR="007151B3">
        <w:t xml:space="preserve"> enorme riqueza gracias a la opresión laboral de los jornaleros, quienes eran vendidos como parte de la hacienda, y podrían ser susceptibles de cualquier clase de castigo, incluso la</w:t>
      </w:r>
      <w:r w:rsidR="005B3DDF">
        <w:t xml:space="preserve"> </w:t>
      </w:r>
      <w:r w:rsidR="007151B3">
        <w:t xml:space="preserve">muerte </w:t>
      </w:r>
      <w:r w:rsidR="00297E60" w:rsidRPr="007E6ABC">
        <w:t>(</w:t>
      </w:r>
      <w:r w:rsidR="00297E60" w:rsidRPr="009B7BD5">
        <w:t>Kenneth Turner, 1993</w:t>
      </w:r>
      <w:r w:rsidR="004853D5">
        <w:t>:</w:t>
      </w:r>
      <w:r w:rsidR="00297E60" w:rsidRPr="00711701">
        <w:rPr>
          <w:lang w:val="es-ES"/>
        </w:rPr>
        <w:t xml:space="preserve"> 10-1</w:t>
      </w:r>
      <w:r w:rsidR="007151B3">
        <w:rPr>
          <w:lang w:val="es-ES"/>
        </w:rPr>
        <w:t>2</w:t>
      </w:r>
      <w:r w:rsidR="00297E60" w:rsidRPr="009B7BD5">
        <w:t>).</w:t>
      </w:r>
      <w:r w:rsidR="00675F73" w:rsidRPr="009B7BD5">
        <w:t xml:space="preserve"> </w:t>
      </w:r>
      <w:r w:rsidR="00540A57">
        <w:t xml:space="preserve">Turner acusaba </w:t>
      </w:r>
      <w:r w:rsidR="00F96461">
        <w:t>a</w:t>
      </w:r>
      <w:r w:rsidR="00540A57">
        <w:t xml:space="preserve"> </w:t>
      </w:r>
      <w:r w:rsidR="00540A57" w:rsidRPr="00540A57">
        <w:t>Porfirio Díaz de haber restablecido la esclavitud y el peonaje en México (González Navarro, 1970ª</w:t>
      </w:r>
      <w:r w:rsidR="004853D5">
        <w:t>:</w:t>
      </w:r>
      <w:r w:rsidR="00540A57" w:rsidRPr="00540A57">
        <w:t xml:space="preserve"> 260-261).</w:t>
      </w:r>
    </w:p>
    <w:p w14:paraId="143B39EA" w14:textId="5135C899" w:rsidR="009B7531" w:rsidRDefault="00F96461" w:rsidP="00CA0B0A">
      <w:pPr>
        <w:spacing w:line="480" w:lineRule="auto"/>
        <w:ind w:firstLine="708"/>
        <w:jc w:val="both"/>
      </w:pPr>
      <w:r>
        <w:t xml:space="preserve">De tal manera que </w:t>
      </w:r>
      <w:r w:rsidR="000D4448" w:rsidRPr="00925C07">
        <w:t>los asesinatos</w:t>
      </w:r>
      <w:r w:rsidR="009A55A5" w:rsidRPr="00925C07">
        <w:t xml:space="preserve"> y castigos corporales</w:t>
      </w:r>
      <w:r w:rsidR="000D4448" w:rsidRPr="00925C07">
        <w:t xml:space="preserve"> </w:t>
      </w:r>
      <w:r w:rsidR="00497E6A">
        <w:t xml:space="preserve">públicos </w:t>
      </w:r>
      <w:r w:rsidR="009A55A5" w:rsidRPr="00925C07">
        <w:t>a</w:t>
      </w:r>
      <w:r>
        <w:t xml:space="preserve"> los</w:t>
      </w:r>
      <w:r w:rsidR="000D4448" w:rsidRPr="00925C07">
        <w:t xml:space="preserve"> jornaleros podrían ser</w:t>
      </w:r>
      <w:r w:rsidR="006834D4">
        <w:t>vir</w:t>
      </w:r>
      <w:r w:rsidR="000D4448" w:rsidRPr="00925C07">
        <w:t xml:space="preserve"> </w:t>
      </w:r>
      <w:r w:rsidR="009A55A5" w:rsidRPr="00925C07">
        <w:t xml:space="preserve">para </w:t>
      </w:r>
      <w:r w:rsidR="006F0068">
        <w:t xml:space="preserve">mantener </w:t>
      </w:r>
      <w:r w:rsidR="009A55A5" w:rsidRPr="00925C07">
        <w:t xml:space="preserve">el control social descrito por </w:t>
      </w:r>
      <w:r w:rsidR="003D71E8" w:rsidRPr="00925C07">
        <w:t>F</w:t>
      </w:r>
      <w:r w:rsidR="003D71E8">
        <w:t>oucault</w:t>
      </w:r>
      <w:r w:rsidR="008A67C6">
        <w:t xml:space="preserve">, </w:t>
      </w:r>
      <w:r w:rsidR="00E96A5F">
        <w:t xml:space="preserve">cuando </w:t>
      </w:r>
      <w:r w:rsidR="008A67C6">
        <w:t>apunt</w:t>
      </w:r>
      <w:r w:rsidR="00E96A5F">
        <w:t>a</w:t>
      </w:r>
      <w:r w:rsidR="008A67C6">
        <w:t xml:space="preserve"> que el castigo público disciplina al transgresor, y de paso a los concurrentes quienes comprenden que eso les pasará si </w:t>
      </w:r>
      <w:r w:rsidR="004157D4">
        <w:t>actúan</w:t>
      </w:r>
      <w:r w:rsidR="008A67C6">
        <w:t xml:space="preserve"> de la misma forma</w:t>
      </w:r>
      <w:r w:rsidR="00E96A5F">
        <w:t xml:space="preserve"> (1990)</w:t>
      </w:r>
      <w:r w:rsidR="000D4448" w:rsidRPr="00925C07">
        <w:t>.</w:t>
      </w:r>
      <w:r w:rsidR="004157D4">
        <w:t xml:space="preserve"> </w:t>
      </w:r>
      <w:r w:rsidR="00497E6A">
        <w:t>Así, l</w:t>
      </w:r>
      <w:r w:rsidR="00F7118D">
        <w:t>as penas sobre el cuerpo eran un correctivo no solamente individual sino colectivo</w:t>
      </w:r>
      <w:r w:rsidR="004A0E80">
        <w:t xml:space="preserve"> (Fouca</w:t>
      </w:r>
      <w:r w:rsidR="00562C37">
        <w:t>u</w:t>
      </w:r>
      <w:r w:rsidR="004A0E80">
        <w:t xml:space="preserve">lt, </w:t>
      </w:r>
      <w:r w:rsidR="005A180A">
        <w:t>1990</w:t>
      </w:r>
      <w:r w:rsidR="004A0E80">
        <w:t>)</w:t>
      </w:r>
      <w:r w:rsidR="00F7118D">
        <w:t>.</w:t>
      </w:r>
      <w:r w:rsidR="009B7531" w:rsidRPr="00951EA3">
        <w:t xml:space="preserve"> </w:t>
      </w:r>
      <w:r w:rsidR="00AD31D0">
        <w:t>Kenneth Turner apuntó que: “</w:t>
      </w:r>
      <w:r w:rsidR="009B7531" w:rsidRPr="00951EA3">
        <w:rPr>
          <w:i/>
        </w:rPr>
        <w:t>me la explicó muy claramente Don Felipe G. Cantón, Secretario de la</w:t>
      </w:r>
      <w:r w:rsidR="000D4448" w:rsidRPr="00951EA3">
        <w:rPr>
          <w:i/>
        </w:rPr>
        <w:t xml:space="preserve"> Cámara. Es necesario pegarles</w:t>
      </w:r>
      <w:r w:rsidR="00AD31D0">
        <w:rPr>
          <w:i/>
        </w:rPr>
        <w:t>.</w:t>
      </w:r>
      <w:r w:rsidR="009B7531" w:rsidRPr="00951EA3">
        <w:rPr>
          <w:i/>
        </w:rPr>
        <w:t xml:space="preserve"> Porque no hay </w:t>
      </w:r>
      <w:r w:rsidR="009B7531" w:rsidRPr="00793877">
        <w:rPr>
          <w:i/>
        </w:rPr>
        <w:t>otro modo de obligarles a hacer lo que uno quier</w:t>
      </w:r>
      <w:r w:rsidR="005B3DDF">
        <w:rPr>
          <w:i/>
        </w:rPr>
        <w:t>e</w:t>
      </w:r>
      <w:r w:rsidR="005B48FA">
        <w:rPr>
          <w:i/>
        </w:rPr>
        <w:t>”</w:t>
      </w:r>
      <w:r w:rsidR="009B7531" w:rsidRPr="00793877">
        <w:rPr>
          <w:i/>
        </w:rPr>
        <w:t xml:space="preserve"> </w:t>
      </w:r>
      <w:r w:rsidR="00D917E9" w:rsidRPr="00793877">
        <w:t>(</w:t>
      </w:r>
      <w:r w:rsidR="00476AFB">
        <w:t>Kenneth Turner,</w:t>
      </w:r>
      <w:r w:rsidR="004942D2">
        <w:t xml:space="preserve"> </w:t>
      </w:r>
      <w:r w:rsidR="00D917E9" w:rsidRPr="00711701">
        <w:rPr>
          <w:lang w:val="es-ES"/>
        </w:rPr>
        <w:t>1993</w:t>
      </w:r>
      <w:r w:rsidR="004853D5">
        <w:rPr>
          <w:lang w:val="es-ES"/>
        </w:rPr>
        <w:t>:</w:t>
      </w:r>
      <w:r w:rsidR="00D917E9" w:rsidRPr="00711701">
        <w:rPr>
          <w:lang w:val="es-ES"/>
        </w:rPr>
        <w:t xml:space="preserve"> 18)</w:t>
      </w:r>
      <w:r w:rsidR="009B7531" w:rsidRPr="00F7118D">
        <w:rPr>
          <w:i/>
        </w:rPr>
        <w:t>.</w:t>
      </w:r>
      <w:r w:rsidR="00D54658" w:rsidRPr="00F7118D">
        <w:t xml:space="preserve"> </w:t>
      </w:r>
      <w:r w:rsidR="00280D2E">
        <w:t>L</w:t>
      </w:r>
      <w:r w:rsidR="00F7118D">
        <w:t xml:space="preserve">os hacendados castigaban </w:t>
      </w:r>
      <w:r w:rsidR="00280D2E">
        <w:t xml:space="preserve">con látigo </w:t>
      </w:r>
      <w:r w:rsidR="00F7118D">
        <w:t xml:space="preserve">a los peones capturados </w:t>
      </w:r>
      <w:r w:rsidR="00476AFB">
        <w:t>en intentos de fuga del centro labora</w:t>
      </w:r>
      <w:r w:rsidR="00280D2E">
        <w:t xml:space="preserve">l, y esta sanción </w:t>
      </w:r>
      <w:r w:rsidR="00F7118D">
        <w:t xml:space="preserve">enfatizaba el </w:t>
      </w:r>
      <w:r w:rsidR="000D4448" w:rsidRPr="00F7118D">
        <w:t xml:space="preserve">poder del hacendado sobre </w:t>
      </w:r>
      <w:r w:rsidR="009B7531" w:rsidRPr="00F7118D">
        <w:t>los peones</w:t>
      </w:r>
      <w:r w:rsidR="00476AFB">
        <w:t xml:space="preserve"> (Santos Dos Soler, 1986).</w:t>
      </w:r>
    </w:p>
    <w:p w14:paraId="21C23479" w14:textId="4C2983E5" w:rsidR="000F3AD4" w:rsidRPr="006834D4" w:rsidRDefault="009A55A5">
      <w:pPr>
        <w:spacing w:line="480" w:lineRule="auto"/>
        <w:ind w:firstLine="708"/>
        <w:jc w:val="both"/>
        <w:rPr>
          <w:lang w:val="es-ES"/>
        </w:rPr>
      </w:pPr>
      <w:r w:rsidRPr="00F7118D">
        <w:t xml:space="preserve">Un panorama de las condiciones de trabajo </w:t>
      </w:r>
      <w:r w:rsidR="00AF4E56">
        <w:t xml:space="preserve">en las haciendas </w:t>
      </w:r>
      <w:r w:rsidR="00F7118D">
        <w:t xml:space="preserve">es descrito </w:t>
      </w:r>
      <w:r w:rsidRPr="00F7118D">
        <w:t>en el</w:t>
      </w:r>
      <w:r w:rsidR="00D54658" w:rsidRPr="00F7118D">
        <w:t xml:space="preserve"> </w:t>
      </w:r>
      <w:r w:rsidR="009B7531" w:rsidRPr="00F7118D">
        <w:t>“</w:t>
      </w:r>
      <w:r w:rsidR="009B7531" w:rsidRPr="00F7118D">
        <w:rPr>
          <w:i/>
        </w:rPr>
        <w:t>Libelo difamatorio de Don Tomás Pérez Ponce</w:t>
      </w:r>
      <w:r w:rsidR="00AF4E56">
        <w:rPr>
          <w:i/>
        </w:rPr>
        <w:t xml:space="preserve">”, </w:t>
      </w:r>
      <w:r w:rsidR="00AF4E56">
        <w:t>en donde acusaba al</w:t>
      </w:r>
      <w:r w:rsidR="009B7531" w:rsidRPr="00F7118D">
        <w:rPr>
          <w:i/>
        </w:rPr>
        <w:t xml:space="preserve"> C. Audomaro Molina</w:t>
      </w:r>
      <w:r w:rsidR="00AF4E56">
        <w:rPr>
          <w:i/>
        </w:rPr>
        <w:t xml:space="preserve">, </w:t>
      </w:r>
      <w:r w:rsidR="00AF4E56" w:rsidRPr="00AF4E56">
        <w:t>dueño de la hacienda</w:t>
      </w:r>
      <w:r w:rsidR="00AF4E56">
        <w:rPr>
          <w:i/>
        </w:rPr>
        <w:t xml:space="preserve"> “Cumpich”,</w:t>
      </w:r>
      <w:r w:rsidR="00AF4E56">
        <w:t xml:space="preserve"> de ser</w:t>
      </w:r>
      <w:r w:rsidR="001A0834">
        <w:t xml:space="preserve"> esclavista.</w:t>
      </w:r>
      <w:r w:rsidR="009B7531" w:rsidRPr="00AF4E56">
        <w:rPr>
          <w:rStyle w:val="Refdenotaalpie"/>
        </w:rPr>
        <w:footnoteReference w:id="2"/>
      </w:r>
      <w:r w:rsidR="009B7531" w:rsidRPr="00AF4E56">
        <w:t xml:space="preserve"> </w:t>
      </w:r>
      <w:r w:rsidR="00D54658" w:rsidRPr="00AF4E56">
        <w:t>El documento narra que los jornaleros trabajaban 1</w:t>
      </w:r>
      <w:r w:rsidR="00635B7D" w:rsidRPr="00AF4E56">
        <w:t>4 horas al día</w:t>
      </w:r>
      <w:r w:rsidR="00AF4E56">
        <w:t xml:space="preserve"> y que la finca era una prisión para </w:t>
      </w:r>
      <w:r w:rsidR="00540A57">
        <w:t xml:space="preserve">ellos </w:t>
      </w:r>
      <w:r w:rsidR="001A0834">
        <w:t>y</w:t>
      </w:r>
      <w:r w:rsidR="00AF4E56">
        <w:t xml:space="preserve"> par</w:t>
      </w:r>
      <w:r w:rsidR="004942D2">
        <w:t>a</w:t>
      </w:r>
      <w:r w:rsidR="00AF4E56">
        <w:t xml:space="preserve"> sus familias. </w:t>
      </w:r>
      <w:r w:rsidR="009B7531" w:rsidRPr="00AF4E56">
        <w:t xml:space="preserve">Manuel M. Escoffie Z. </w:t>
      </w:r>
      <w:r w:rsidR="00893DEA" w:rsidRPr="00AF4E56">
        <w:t>reconoc</w:t>
      </w:r>
      <w:r w:rsidR="00893DEA">
        <w:t>ió que</w:t>
      </w:r>
      <w:r w:rsidR="00200127" w:rsidRPr="00AF4E56">
        <w:t xml:space="preserve"> las fincas </w:t>
      </w:r>
      <w:r w:rsidR="00893DEA">
        <w:t xml:space="preserve">constituían </w:t>
      </w:r>
      <w:r w:rsidR="009B7531" w:rsidRPr="00AF4E56">
        <w:t>un sistema esclavista: “</w:t>
      </w:r>
      <w:r w:rsidR="009B7531" w:rsidRPr="00AF4E56">
        <w:rPr>
          <w:i/>
        </w:rPr>
        <w:t>egoísta e injusto</w:t>
      </w:r>
      <w:r w:rsidR="00540A57">
        <w:rPr>
          <w:i/>
        </w:rPr>
        <w:t>”</w:t>
      </w:r>
      <w:r w:rsidR="000F3AD4">
        <w:t xml:space="preserve"> que generó </w:t>
      </w:r>
      <w:r w:rsidR="00CE63BB" w:rsidRPr="00AF4E56">
        <w:t xml:space="preserve">la riqueza pública de Yucatán </w:t>
      </w:r>
      <w:r w:rsidR="00753247" w:rsidRPr="00AF4E56">
        <w:t>(Escoffie, 1960</w:t>
      </w:r>
      <w:r w:rsidR="004853D5">
        <w:t>:</w:t>
      </w:r>
      <w:r w:rsidR="00753247" w:rsidRPr="00AF4E56">
        <w:t xml:space="preserve"> 25</w:t>
      </w:r>
      <w:r w:rsidR="00CE63BB" w:rsidRPr="00AF4E56">
        <w:t>-2</w:t>
      </w:r>
      <w:r w:rsidR="000D4448" w:rsidRPr="00AF4E56">
        <w:t>7</w:t>
      </w:r>
      <w:r w:rsidR="00753247" w:rsidRPr="00AF4E56">
        <w:t>)</w:t>
      </w:r>
      <w:r w:rsidR="000D4448" w:rsidRPr="00AF4E56">
        <w:t>.</w:t>
      </w:r>
      <w:r w:rsidR="00200127" w:rsidRPr="00AF4E56">
        <w:t xml:space="preserve"> </w:t>
      </w:r>
      <w:r w:rsidR="00CE63BB" w:rsidRPr="00AF4E56">
        <w:t xml:space="preserve">Manuel Palma </w:t>
      </w:r>
      <w:r w:rsidR="001A0834">
        <w:t xml:space="preserve">indicó que: </w:t>
      </w:r>
      <w:r w:rsidR="004942D2">
        <w:t>“</w:t>
      </w:r>
      <w:r w:rsidR="009B7531" w:rsidRPr="00AF4E56">
        <w:rPr>
          <w:i/>
        </w:rPr>
        <w:t>las haciendas se convirtieron en campos de esclavitud</w:t>
      </w:r>
      <w:r w:rsidR="00893DEA">
        <w:rPr>
          <w:i/>
        </w:rPr>
        <w:t>, y</w:t>
      </w:r>
      <w:r w:rsidR="009B7531" w:rsidRPr="00AF4E56">
        <w:rPr>
          <w:i/>
        </w:rPr>
        <w:t xml:space="preserve"> por cualquier falta eran castigados con encarcelamiento </w:t>
      </w:r>
      <w:r w:rsidR="00AB648A">
        <w:rPr>
          <w:i/>
        </w:rPr>
        <w:t>(o)</w:t>
      </w:r>
      <w:r w:rsidR="009B7531" w:rsidRPr="00AF4E56">
        <w:rPr>
          <w:i/>
        </w:rPr>
        <w:t xml:space="preserve"> azotes”</w:t>
      </w:r>
      <w:r w:rsidR="009D7790" w:rsidRPr="00AF4E56">
        <w:rPr>
          <w:i/>
        </w:rPr>
        <w:t xml:space="preserve"> </w:t>
      </w:r>
      <w:r w:rsidR="009D7790" w:rsidRPr="00AF4E56">
        <w:t>(</w:t>
      </w:r>
      <w:r w:rsidR="009D7790" w:rsidRPr="00711701">
        <w:rPr>
          <w:lang w:val="es-ES"/>
        </w:rPr>
        <w:t>1978</w:t>
      </w:r>
      <w:r w:rsidR="004853D5">
        <w:rPr>
          <w:lang w:val="es-ES"/>
        </w:rPr>
        <w:t>:</w:t>
      </w:r>
      <w:r w:rsidR="009D7790" w:rsidRPr="00711701">
        <w:rPr>
          <w:lang w:val="es-ES"/>
        </w:rPr>
        <w:t xml:space="preserve"> 15-16)</w:t>
      </w:r>
      <w:r w:rsidR="009B7531" w:rsidRPr="00AF4E56">
        <w:rPr>
          <w:i/>
        </w:rPr>
        <w:t>.</w:t>
      </w:r>
      <w:r w:rsidR="00AD31D0">
        <w:rPr>
          <w:i/>
        </w:rPr>
        <w:t xml:space="preserve"> </w:t>
      </w:r>
      <w:r w:rsidR="00AD31D0">
        <w:t xml:space="preserve">La élite </w:t>
      </w:r>
      <w:r w:rsidR="004000CF">
        <w:t xml:space="preserve">meridana </w:t>
      </w:r>
      <w:r w:rsidR="00AD31D0">
        <w:t xml:space="preserve">quería guiar a </w:t>
      </w:r>
      <w:r w:rsidR="004000CF">
        <w:t xml:space="preserve">Yucatán </w:t>
      </w:r>
      <w:r w:rsidR="00AD31D0">
        <w:t xml:space="preserve">por el camino de la industrialización al modernizar la agricultura, </w:t>
      </w:r>
      <w:r w:rsidR="001A0834">
        <w:t>integrar</w:t>
      </w:r>
      <w:r w:rsidR="00497E6A">
        <w:t xml:space="preserve">on el henequén </w:t>
      </w:r>
      <w:r w:rsidR="004000CF">
        <w:t xml:space="preserve">con el mercado </w:t>
      </w:r>
      <w:r w:rsidR="00893DEA">
        <w:t xml:space="preserve">mundial y </w:t>
      </w:r>
      <w:r w:rsidR="00497E6A">
        <w:t>del centro de</w:t>
      </w:r>
      <w:r w:rsidR="00893DEA">
        <w:t xml:space="preserve"> </w:t>
      </w:r>
      <w:r w:rsidR="004000CF">
        <w:t xml:space="preserve">México para posicionar sus productos. La </w:t>
      </w:r>
      <w:r w:rsidR="00AD31D0">
        <w:t>falta de mano de obra</w:t>
      </w:r>
      <w:r w:rsidR="004000CF">
        <w:t xml:space="preserve"> l</w:t>
      </w:r>
      <w:r w:rsidR="00497E6A">
        <w:t>es</w:t>
      </w:r>
      <w:r w:rsidR="004000CF">
        <w:t xml:space="preserve"> impedía</w:t>
      </w:r>
      <w:r w:rsidR="00497E6A">
        <w:t xml:space="preserve"> </w:t>
      </w:r>
      <w:r w:rsidR="006834D4">
        <w:t>extender</w:t>
      </w:r>
      <w:r w:rsidR="00497E6A">
        <w:t xml:space="preserve"> la producción</w:t>
      </w:r>
      <w:r w:rsidR="004000CF">
        <w:t xml:space="preserve">, pero el endeudamiento </w:t>
      </w:r>
      <w:r w:rsidR="00497E6A">
        <w:t xml:space="preserve">y su legislación en 1863 </w:t>
      </w:r>
      <w:r w:rsidR="004000CF">
        <w:t>garantizó la permanencia del peón maya</w:t>
      </w:r>
      <w:r w:rsidR="00AD31D0">
        <w:t xml:space="preserve"> en la hacienda</w:t>
      </w:r>
      <w:r w:rsidR="00AD31D0">
        <w:rPr>
          <w:i/>
        </w:rPr>
        <w:t xml:space="preserve"> </w:t>
      </w:r>
      <w:r w:rsidR="00AD31D0">
        <w:t>(García Quintanilla, 1990</w:t>
      </w:r>
      <w:r w:rsidR="00562C37">
        <w:t>:</w:t>
      </w:r>
      <w:r w:rsidR="00AD31D0">
        <w:t xml:space="preserve"> 134-137</w:t>
      </w:r>
      <w:r w:rsidR="004000CF">
        <w:t xml:space="preserve">; </w:t>
      </w:r>
      <w:r w:rsidR="004000CF" w:rsidRPr="008B78C2">
        <w:t>Peniche, 1990</w:t>
      </w:r>
      <w:r w:rsidR="004000CF">
        <w:t xml:space="preserve">; </w:t>
      </w:r>
      <w:r w:rsidR="004000CF" w:rsidRPr="00AE36DB">
        <w:rPr>
          <w:lang w:val="es-ES"/>
        </w:rPr>
        <w:t>Pérez de Sarmiento, 2002</w:t>
      </w:r>
      <w:r w:rsidR="004000CF">
        <w:rPr>
          <w:lang w:val="es-ES"/>
        </w:rPr>
        <w:t>:</w:t>
      </w:r>
      <w:r w:rsidR="004000CF" w:rsidRPr="00AE36DB">
        <w:rPr>
          <w:lang w:val="es-ES"/>
        </w:rPr>
        <w:t xml:space="preserve"> 98, 109)</w:t>
      </w:r>
      <w:r w:rsidR="004000CF">
        <w:rPr>
          <w:lang w:val="es-ES"/>
        </w:rPr>
        <w:t>.</w:t>
      </w:r>
      <w:r w:rsidR="00AD31D0">
        <w:t xml:space="preserve"> </w:t>
      </w:r>
      <w:r w:rsidR="00447B3A" w:rsidRPr="00711701">
        <w:t xml:space="preserve"> </w:t>
      </w:r>
    </w:p>
    <w:p w14:paraId="133C16DA" w14:textId="5102B707" w:rsidR="00540A57" w:rsidRDefault="008B78C2" w:rsidP="00C641E1">
      <w:pPr>
        <w:spacing w:line="480" w:lineRule="auto"/>
        <w:ind w:firstLine="708"/>
        <w:jc w:val="both"/>
      </w:pPr>
      <w:r>
        <w:t xml:space="preserve">A pesar de que las condiciones laborales de los campesinos mayas eran muy duras, se decía que contaban </w:t>
      </w:r>
      <w:r w:rsidR="003D7505" w:rsidRPr="008B78C2">
        <w:t>con: servicio médico, casas con patio para sembrar y criar animales domésticos</w:t>
      </w:r>
      <w:r>
        <w:t>, en comparación con los indígenas del resto de México</w:t>
      </w:r>
      <w:r w:rsidR="003D7505" w:rsidRPr="008B78C2">
        <w:t xml:space="preserve"> (</w:t>
      </w:r>
      <w:r w:rsidR="003D7505" w:rsidRPr="00711701">
        <w:t>Escoffie, 1960</w:t>
      </w:r>
      <w:r w:rsidR="004853D5">
        <w:t>:</w:t>
      </w:r>
      <w:r w:rsidR="003D7505" w:rsidRPr="00711701">
        <w:t xml:space="preserve"> 24-</w:t>
      </w:r>
      <w:r w:rsidR="003D7505" w:rsidRPr="00711701">
        <w:rPr>
          <w:lang w:val="es-ES"/>
        </w:rPr>
        <w:t>26</w:t>
      </w:r>
      <w:r w:rsidR="003D7505" w:rsidRPr="008B78C2">
        <w:t xml:space="preserve">). </w:t>
      </w:r>
      <w:r w:rsidR="00B10F59">
        <w:rPr>
          <w:lang w:val="es-ES"/>
        </w:rPr>
        <w:t>La ley de 1863</w:t>
      </w:r>
      <w:r w:rsidR="003D7505" w:rsidRPr="008B78C2">
        <w:t xml:space="preserve"> </w:t>
      </w:r>
      <w:r w:rsidR="00AD6694">
        <w:t xml:space="preserve">permitía </w:t>
      </w:r>
      <w:r w:rsidR="00893DEA">
        <w:t xml:space="preserve">a los encargados de las haciendas (mayordomos y capataces) dar </w:t>
      </w:r>
      <w:r w:rsidR="003D7505" w:rsidRPr="008B78C2">
        <w:t>castigos corporales y escarmientos públicos a los jornaleros</w:t>
      </w:r>
      <w:r w:rsidR="00540A57">
        <w:t xml:space="preserve">, </w:t>
      </w:r>
      <w:r w:rsidR="00893DEA">
        <w:t>esto quedó j</w:t>
      </w:r>
      <w:r w:rsidR="00540A57" w:rsidRPr="00540A57">
        <w:t xml:space="preserve">ustificado </w:t>
      </w:r>
      <w:r w:rsidR="00893DEA">
        <w:t>en pro de</w:t>
      </w:r>
      <w:r w:rsidR="00540A57" w:rsidRPr="00540A57">
        <w:t xml:space="preserve"> aument</w:t>
      </w:r>
      <w:r w:rsidR="00893DEA">
        <w:t>ar</w:t>
      </w:r>
      <w:r w:rsidR="00540A57" w:rsidRPr="00540A57">
        <w:t xml:space="preserve"> la laboriosidad y la erradicación de la inmoralidad en la que se decía que vivían los peones</w:t>
      </w:r>
      <w:r w:rsidR="00540A57">
        <w:t xml:space="preserve">. También </w:t>
      </w:r>
      <w:r w:rsidR="00C30F30">
        <w:t xml:space="preserve">se valían </w:t>
      </w:r>
      <w:r w:rsidR="00887174">
        <w:t>de la “nohoch cuenta”</w:t>
      </w:r>
      <w:r w:rsidR="005B3DDF">
        <w:t xml:space="preserve">, </w:t>
      </w:r>
      <w:r w:rsidR="00C30F30">
        <w:t xml:space="preserve">instrumento </w:t>
      </w:r>
      <w:r w:rsidR="00887174">
        <w:t xml:space="preserve">que consistía en crear una deuda que se incrementaba </w:t>
      </w:r>
      <w:r w:rsidR="00B10F59">
        <w:t xml:space="preserve">de acuerdo al criterio </w:t>
      </w:r>
      <w:r w:rsidR="00887174">
        <w:t xml:space="preserve">del hacendado que la imponía. </w:t>
      </w:r>
      <w:r w:rsidR="00497E6A">
        <w:t>Kenneth Turner</w:t>
      </w:r>
      <w:r w:rsidR="00887174">
        <w:t xml:space="preserve"> mencionó que lo más sorprendente en torno a la deuda es que no existía</w:t>
      </w:r>
      <w:r w:rsidR="00AD6694">
        <w:t xml:space="preserve"> libro alguno </w:t>
      </w:r>
      <w:r w:rsidR="004731C3">
        <w:t>que lo registrase</w:t>
      </w:r>
      <w:r w:rsidR="00AD6694">
        <w:t xml:space="preserve"> (1993: 15-16). </w:t>
      </w:r>
      <w:r w:rsidR="00887174">
        <w:t>A</w:t>
      </w:r>
      <w:r w:rsidR="004000CF">
        <w:t>l</w:t>
      </w:r>
      <w:r w:rsidR="00887174">
        <w:t xml:space="preserve"> final la pequeña deuda se tornaba impagable. </w:t>
      </w:r>
      <w:r w:rsidR="004000CF">
        <w:t>L</w:t>
      </w:r>
      <w:r w:rsidR="00887174">
        <w:t>a demanda de mano de obra era tal que en algunas ocasiones otro hacendado pagaba la deuda del jornalero para que e</w:t>
      </w:r>
      <w:r w:rsidR="005B3DDF">
        <w:t>ste se fuera a trabajar para él</w:t>
      </w:r>
      <w:r w:rsidR="00887174">
        <w:t xml:space="preserve"> (Soler Dos Santos, 1986</w:t>
      </w:r>
      <w:r w:rsidR="00AD6694">
        <w:t>:</w:t>
      </w:r>
      <w:r w:rsidR="00887174">
        <w:t xml:space="preserve"> 191</w:t>
      </w:r>
      <w:r w:rsidR="00AD6694">
        <w:t>)</w:t>
      </w:r>
      <w:r w:rsidR="00887174">
        <w:t>.</w:t>
      </w:r>
      <w:r w:rsidR="00497E6A">
        <w:t xml:space="preserve"> </w:t>
      </w:r>
      <w:r w:rsidR="004731C3">
        <w:t xml:space="preserve">Lo descrito fue </w:t>
      </w:r>
      <w:r w:rsidR="00497E6A">
        <w:t>denominado</w:t>
      </w:r>
      <w:r w:rsidR="00540A57" w:rsidRPr="00540A57">
        <w:t xml:space="preserve"> como esclav</w:t>
      </w:r>
      <w:r w:rsidR="00540A57">
        <w:t>itud por la prensa decimonónica</w:t>
      </w:r>
      <w:r w:rsidR="00540A57" w:rsidRPr="00540A57">
        <w:t xml:space="preserve"> </w:t>
      </w:r>
      <w:r w:rsidR="00540A57">
        <w:t xml:space="preserve">y empezó a documentarse en los periódicos por el enorme interés por parte de la población. </w:t>
      </w:r>
    </w:p>
    <w:p w14:paraId="2B68C944" w14:textId="77777777" w:rsidR="00540A57" w:rsidRDefault="00540A57" w:rsidP="00540A57">
      <w:pPr>
        <w:spacing w:line="480" w:lineRule="auto"/>
        <w:jc w:val="both"/>
      </w:pPr>
    </w:p>
    <w:p w14:paraId="5305BC8E" w14:textId="3E8CFFC6" w:rsidR="00540A57" w:rsidRPr="00131DC8" w:rsidRDefault="00540A57" w:rsidP="00540A57">
      <w:pPr>
        <w:spacing w:line="480" w:lineRule="auto"/>
        <w:jc w:val="both"/>
        <w:rPr>
          <w:b/>
        </w:rPr>
      </w:pPr>
      <w:r w:rsidRPr="00131DC8">
        <w:rPr>
          <w:b/>
        </w:rPr>
        <w:t xml:space="preserve">Periodismo y </w:t>
      </w:r>
      <w:r>
        <w:rPr>
          <w:b/>
        </w:rPr>
        <w:t>crimen en México</w:t>
      </w:r>
    </w:p>
    <w:p w14:paraId="1E1F6449" w14:textId="7B49D168" w:rsidR="00540A57" w:rsidRDefault="00282C5E" w:rsidP="00540A57">
      <w:pPr>
        <w:spacing w:line="480" w:lineRule="auto"/>
        <w:jc w:val="both"/>
      </w:pPr>
      <w:r>
        <w:t xml:space="preserve">De acuerdo </w:t>
      </w:r>
      <w:r w:rsidR="004731C3">
        <w:t>con</w:t>
      </w:r>
      <w:r>
        <w:t xml:space="preserve"> Lombardo</w:t>
      </w:r>
      <w:r w:rsidR="00540A57">
        <w:t xml:space="preserve"> (1998:</w:t>
      </w:r>
      <w:r w:rsidR="00562C37">
        <w:t xml:space="preserve"> </w:t>
      </w:r>
      <w:r w:rsidR="00540A57">
        <w:t xml:space="preserve">25) en el siglo XIX, hacía la década de los setenta, empezó a figurar en la redacción de algunos órganos el especialista en la noticia, denominado en ese entonces como </w:t>
      </w:r>
      <w:r w:rsidR="00540A57" w:rsidRPr="00131DC8">
        <w:rPr>
          <w:i/>
        </w:rPr>
        <w:t>“reporter”</w:t>
      </w:r>
      <w:r w:rsidR="00540A57">
        <w:t xml:space="preserve"> </w:t>
      </w:r>
      <w:r w:rsidR="004731C3">
        <w:t>(actualmente conocido como</w:t>
      </w:r>
      <w:r w:rsidR="00540A57">
        <w:t xml:space="preserve"> “reportero”</w:t>
      </w:r>
      <w:r w:rsidR="004731C3">
        <w:t>)</w:t>
      </w:r>
      <w:r w:rsidR="00540A57">
        <w:t>. Gracias a esta figura, aparecieron géneros como el r</w:t>
      </w:r>
      <w:r>
        <w:t>eportaje y la entrevista (Lombardo</w:t>
      </w:r>
      <w:r w:rsidR="00540A57">
        <w:t>, 1998:</w:t>
      </w:r>
      <w:r w:rsidR="00562C37">
        <w:t xml:space="preserve"> </w:t>
      </w:r>
      <w:r w:rsidR="00540A57">
        <w:t xml:space="preserve">25). Manuel Caballero fue el primer reportero mexicano, que después de un viaje a Estados Unidos importó a nuestro país el noticierismo sistematizado en el </w:t>
      </w:r>
      <w:r w:rsidR="00985C52">
        <w:t>periódico</w:t>
      </w:r>
      <w:r>
        <w:t xml:space="preserve"> “El noticioso” (1880) (Lombardo</w:t>
      </w:r>
      <w:r w:rsidR="00540A57">
        <w:t>, 1998:</w:t>
      </w:r>
      <w:r w:rsidR="00562C37">
        <w:t xml:space="preserve"> </w:t>
      </w:r>
      <w:r w:rsidR="00540A57">
        <w:t>77).</w:t>
      </w:r>
    </w:p>
    <w:p w14:paraId="56641FFF" w14:textId="6A31DA8A" w:rsidR="00282C5E" w:rsidRDefault="00282C5E" w:rsidP="00131DC8">
      <w:pPr>
        <w:spacing w:line="480" w:lineRule="auto"/>
        <w:ind w:firstLine="708"/>
        <w:jc w:val="both"/>
      </w:pPr>
      <w:r w:rsidRPr="00282C5E">
        <w:t>Una de las temáticas que resultaron más propicias para vender</w:t>
      </w:r>
      <w:r w:rsidR="001A2740">
        <w:t xml:space="preserve"> fueron las </w:t>
      </w:r>
      <w:r w:rsidRPr="00282C5E">
        <w:t>noticias policiaca</w:t>
      </w:r>
      <w:r w:rsidR="001A2740">
        <w:t>s</w:t>
      </w:r>
      <w:r w:rsidRPr="00282C5E">
        <w:t>, bautizada</w:t>
      </w:r>
      <w:r w:rsidR="002D0ECF">
        <w:t>s</w:t>
      </w:r>
      <w:r w:rsidRPr="00282C5E">
        <w:t xml:space="preserve"> como nota roja, particularmente en </w:t>
      </w:r>
      <w:r w:rsidR="00985C52">
        <w:t>“</w:t>
      </w:r>
      <w:r w:rsidRPr="00282C5E">
        <w:t>El Mercurio Occidental</w:t>
      </w:r>
      <w:r w:rsidR="00985C52">
        <w:t>”</w:t>
      </w:r>
      <w:r w:rsidRPr="00282C5E">
        <w:t xml:space="preserve"> –diario de Guadalajara- (Lombardo, 1998:</w:t>
      </w:r>
      <w:r w:rsidR="00562C37">
        <w:t xml:space="preserve"> </w:t>
      </w:r>
      <w:r w:rsidRPr="00282C5E">
        <w:t>88). Según Klahr y Barata (2009:</w:t>
      </w:r>
      <w:r w:rsidR="00562C37">
        <w:t xml:space="preserve"> </w:t>
      </w:r>
      <w:r w:rsidRPr="00282C5E">
        <w:t>23) el coloquialismo decimonónico califica como “nota roja” al tratamiento popular de una temática periodística –la policiaca y judicial- que apareció de manera formal con la prensa industrial en México a lo largo del último cuarto del siglo XIX.</w:t>
      </w:r>
    </w:p>
    <w:p w14:paraId="3557100C" w14:textId="1599DF5D" w:rsidR="00540A57" w:rsidRDefault="001A2740" w:rsidP="00131DC8">
      <w:pPr>
        <w:spacing w:line="480" w:lineRule="auto"/>
        <w:ind w:firstLine="708"/>
        <w:jc w:val="both"/>
      </w:pPr>
      <w:r>
        <w:t>A</w:t>
      </w:r>
      <w:r w:rsidR="00540A57">
        <w:t xml:space="preserve"> finales de los años ochenta del siglo XIX, las páginas de la prensa mexicana se llenaron de tinta roja ya que los reporteros informaban sobre personas desaparecidas, mujeres enterradas vivas o de exhumación de cadáveres. También abordaban robos, asesinatos, incendios, estrangulamientos, inundaciones, descarrilamientos de trenes, aprehensión de políticos, descubrimientos de tesor</w:t>
      </w:r>
      <w:r w:rsidR="00282C5E">
        <w:t xml:space="preserve">os, </w:t>
      </w:r>
      <w:r w:rsidR="00985C52">
        <w:t>eventos que despertaban el interés del público</w:t>
      </w:r>
      <w:r w:rsidR="00282C5E">
        <w:t xml:space="preserve"> (Lombardo</w:t>
      </w:r>
      <w:r w:rsidR="00540A57">
        <w:t>, 1998:</w:t>
      </w:r>
      <w:r w:rsidR="00562C37">
        <w:t xml:space="preserve"> </w:t>
      </w:r>
      <w:r w:rsidR="00540A57">
        <w:t>91).</w:t>
      </w:r>
    </w:p>
    <w:p w14:paraId="1BE9C7AF" w14:textId="6FB5D25D" w:rsidR="00540A57" w:rsidRDefault="00540A57" w:rsidP="00540A57">
      <w:pPr>
        <w:spacing w:line="480" w:lineRule="auto"/>
        <w:ind w:firstLine="708"/>
        <w:jc w:val="both"/>
      </w:pPr>
      <w:r>
        <w:t>El reportaje en poco tiempo sobrepasó a la crónica</w:t>
      </w:r>
      <w:r w:rsidR="00985C52">
        <w:t>,</w:t>
      </w:r>
      <w:r>
        <w:t xml:space="preserve"> ya que su demanda fue en aumento y paulatinamente se incorporó a las primeras planas, a pesar de que se les consideraba de poca calidad y se le acusaba de dar un trato banal a los hechos y de incurrir en excesos en nombre de la oportunidad informativa </w:t>
      </w:r>
      <w:r w:rsidR="00282C5E">
        <w:t>(Lombardo</w:t>
      </w:r>
      <w:r>
        <w:t>, 1998:</w:t>
      </w:r>
      <w:r w:rsidR="002D0ECF">
        <w:t xml:space="preserve"> </w:t>
      </w:r>
      <w:r>
        <w:t>93</w:t>
      </w:r>
      <w:r w:rsidR="002D0ECF">
        <w:t>-</w:t>
      </w:r>
      <w:r>
        <w:t>94).</w:t>
      </w:r>
      <w:r w:rsidR="00282C5E">
        <w:t xml:space="preserve"> Según Lombardo</w:t>
      </w:r>
      <w:r>
        <w:t xml:space="preserve"> el sensacionismo </w:t>
      </w:r>
      <w:r w:rsidR="00985C52">
        <w:t xml:space="preserve">del reportaje </w:t>
      </w:r>
      <w:r>
        <w:t xml:space="preserve">fue un éxito porque existía un público ávido de noticias de ese género. La </w:t>
      </w:r>
      <w:r w:rsidR="002D0ECF">
        <w:t xml:space="preserve">crisis </w:t>
      </w:r>
      <w:r w:rsidR="00985C52">
        <w:t>cotidiana de la</w:t>
      </w:r>
      <w:r w:rsidR="002D0ECF">
        <w:t xml:space="preserve"> </w:t>
      </w:r>
      <w:r>
        <w:t xml:space="preserve">sociedad se veía reflejada en </w:t>
      </w:r>
      <w:r w:rsidR="00985C52">
        <w:t xml:space="preserve">esos reportajes </w:t>
      </w:r>
      <w:r>
        <w:t xml:space="preserve">y el público aceptó </w:t>
      </w:r>
      <w:r w:rsidR="00985C52">
        <w:t xml:space="preserve">leer en los periódicos </w:t>
      </w:r>
      <w:r>
        <w:t xml:space="preserve">la </w:t>
      </w:r>
      <w:r w:rsidR="00985C52">
        <w:t xml:space="preserve">difícil </w:t>
      </w:r>
      <w:r>
        <w:t>situación en la que se vivía (</w:t>
      </w:r>
      <w:r w:rsidR="00282C5E">
        <w:t>Lombardo</w:t>
      </w:r>
      <w:r>
        <w:t>, 1998:</w:t>
      </w:r>
      <w:r w:rsidR="00562C37">
        <w:t xml:space="preserve"> </w:t>
      </w:r>
      <w:r>
        <w:t>97).</w:t>
      </w:r>
    </w:p>
    <w:p w14:paraId="62115883" w14:textId="5ADBCDD1" w:rsidR="00282C5E" w:rsidRDefault="00282C5E" w:rsidP="00131DC8">
      <w:pPr>
        <w:spacing w:line="480" w:lineRule="auto"/>
        <w:ind w:firstLine="708"/>
        <w:jc w:val="both"/>
      </w:pPr>
      <w:r>
        <w:t>De acuerdo a Klahr y Barata (2009:</w:t>
      </w:r>
      <w:r w:rsidR="00562C37">
        <w:t xml:space="preserve"> </w:t>
      </w:r>
      <w:r>
        <w:t>51) “</w:t>
      </w:r>
      <w:r w:rsidRPr="008D004E">
        <w:rPr>
          <w:i/>
        </w:rPr>
        <w:t>la nota roja ha servido en México para señalar un conjunto de informaciones referidas a temas que entran en conflicto con la ley penal, así como aquellos que dan cuenta de múltiples desgracias sociales, cuya dimensión remite a otros tiempos, cuando las consideraciones sobre la justicia estaban atrapadas entre las imprecisiones y el oscurantismo de las leyes, y los rígidos preceptos teológicos eran tan claros como el miedo al castigo</w:t>
      </w:r>
      <w:r>
        <w:t>”.</w:t>
      </w:r>
    </w:p>
    <w:p w14:paraId="553309A7" w14:textId="1BCC1F1D" w:rsidR="00540A57" w:rsidRDefault="00282C5E" w:rsidP="00131DC8">
      <w:pPr>
        <w:spacing w:line="480" w:lineRule="auto"/>
        <w:ind w:firstLine="708"/>
        <w:jc w:val="both"/>
        <w:rPr>
          <w:highlight w:val="yellow"/>
        </w:rPr>
      </w:pPr>
      <w:r>
        <w:t>A</w:t>
      </w:r>
      <w:r w:rsidR="00985C52">
        <w:t>sí que para</w:t>
      </w:r>
      <w:r>
        <w:t xml:space="preserve"> finales del siglo XIX, </w:t>
      </w:r>
      <w:r w:rsidR="00985C52">
        <w:t xml:space="preserve">en México </w:t>
      </w:r>
      <w:r>
        <w:t xml:space="preserve">los hechos dramáticos </w:t>
      </w:r>
      <w:r w:rsidR="00985C52">
        <w:t xml:space="preserve">eran </w:t>
      </w:r>
      <w:r>
        <w:t>una pieza fundamental en la conquista de los públicos masivos y la consolidación del periodismo industrial (Klahr y Barata, 2009:</w:t>
      </w:r>
      <w:r w:rsidR="00562C37">
        <w:t xml:space="preserve"> </w:t>
      </w:r>
      <w:r>
        <w:t>51). Los asesinatos y acontecimientos dramáticos se convirtieron en los grandes temas de</w:t>
      </w:r>
      <w:r w:rsidR="004C1CFF">
        <w:t xml:space="preserve"> los</w:t>
      </w:r>
      <w:r>
        <w:t xml:space="preserve"> reporteros </w:t>
      </w:r>
      <w:r w:rsidR="004C1CFF">
        <w:t xml:space="preserve">al </w:t>
      </w:r>
      <w:r>
        <w:t>reinventar el periodismo con descripciones detalladas</w:t>
      </w:r>
      <w:r w:rsidR="004C1CFF">
        <w:t xml:space="preserve"> al relatar </w:t>
      </w:r>
      <w:r>
        <w:t xml:space="preserve">crímenes y hechos de sangre. El ímpetu de sus narraciones y el masivo consumo popular hicieron creer a la sociedad la existencia de una violencia superior a la de antes, pero </w:t>
      </w:r>
      <w:r w:rsidR="00985C52">
        <w:t>Klahr y Barata</w:t>
      </w:r>
      <w:r>
        <w:t xml:space="preserve"> afirman que se trataba de una violencia narrada más que una violencia vivida (2009:</w:t>
      </w:r>
      <w:r w:rsidR="00562C37">
        <w:t xml:space="preserve"> </w:t>
      </w:r>
      <w:r>
        <w:t>52).</w:t>
      </w:r>
    </w:p>
    <w:p w14:paraId="7908B8A1" w14:textId="00D266D8" w:rsidR="00540A57" w:rsidRPr="00131DC8" w:rsidRDefault="008964DE" w:rsidP="00131DC8">
      <w:pPr>
        <w:spacing w:line="480" w:lineRule="auto"/>
        <w:ind w:firstLine="708"/>
        <w:jc w:val="both"/>
        <w:rPr>
          <w:color w:val="222222"/>
          <w:shd w:val="clear" w:color="auto" w:fill="FFFFFF"/>
        </w:rPr>
      </w:pPr>
      <w:r>
        <w:rPr>
          <w:color w:val="222222"/>
          <w:shd w:val="clear" w:color="auto" w:fill="FFFFFF"/>
        </w:rPr>
        <w:t>Para</w:t>
      </w:r>
      <w:r w:rsidRPr="00131DC8">
        <w:rPr>
          <w:color w:val="222222"/>
          <w:shd w:val="clear" w:color="auto" w:fill="FFFFFF"/>
        </w:rPr>
        <w:t xml:space="preserve"> </w:t>
      </w:r>
      <w:r w:rsidR="00F542E9" w:rsidRPr="00131DC8">
        <w:rPr>
          <w:color w:val="222222"/>
          <w:shd w:val="clear" w:color="auto" w:fill="FFFFFF"/>
        </w:rPr>
        <w:t>el caso del estado de Yucatán, según C</w:t>
      </w:r>
      <w:r w:rsidR="004C1CFF">
        <w:rPr>
          <w:color w:val="222222"/>
          <w:shd w:val="clear" w:color="auto" w:fill="FFFFFF"/>
        </w:rPr>
        <w:t>astillo y</w:t>
      </w:r>
      <w:r w:rsidR="00F542E9" w:rsidRPr="00131DC8">
        <w:rPr>
          <w:color w:val="222222"/>
          <w:shd w:val="clear" w:color="auto" w:fill="FFFFFF"/>
        </w:rPr>
        <w:t xml:space="preserve"> Albornoz (2010), </w:t>
      </w:r>
      <w:r w:rsidR="007637EA" w:rsidRPr="00131DC8">
        <w:rPr>
          <w:color w:val="222222"/>
          <w:shd w:val="clear" w:color="auto" w:fill="FFFFFF"/>
        </w:rPr>
        <w:t>la selección de hechos de sangre aparecidos en la prensa a finales del siglo XIX se encontraba más vinculada a las relaciones laborales en las haciendas yucatecas y a los conflictos electorales. Las primeras notas rojas como género periodístico en el caso de Yucatán fueron sobre política (Canché y Albornoz, 2010:</w:t>
      </w:r>
      <w:r w:rsidR="00562C37">
        <w:rPr>
          <w:color w:val="222222"/>
          <w:shd w:val="clear" w:color="auto" w:fill="FFFFFF"/>
        </w:rPr>
        <w:t xml:space="preserve"> </w:t>
      </w:r>
      <w:r w:rsidR="007637EA" w:rsidRPr="00131DC8">
        <w:rPr>
          <w:color w:val="222222"/>
          <w:shd w:val="clear" w:color="auto" w:fill="FFFFFF"/>
        </w:rPr>
        <w:t>45)</w:t>
      </w:r>
      <w:r w:rsidR="00275C4D" w:rsidRPr="00131DC8">
        <w:rPr>
          <w:color w:val="222222"/>
          <w:shd w:val="clear" w:color="auto" w:fill="FFFFFF"/>
        </w:rPr>
        <w:t>. Estos autores mencionan que el primer caso con las características del periodismo mercantil y moderno</w:t>
      </w:r>
      <w:r w:rsidR="002F25A5" w:rsidRPr="00131DC8">
        <w:rPr>
          <w:color w:val="222222"/>
          <w:shd w:val="clear" w:color="auto" w:fill="FFFFFF"/>
        </w:rPr>
        <w:t xml:space="preserve"> </w:t>
      </w:r>
      <w:r w:rsidR="00823728">
        <w:rPr>
          <w:color w:val="222222"/>
          <w:shd w:val="clear" w:color="auto" w:fill="FFFFFF"/>
        </w:rPr>
        <w:t xml:space="preserve">en Yucatán </w:t>
      </w:r>
      <w:r w:rsidR="00823728" w:rsidRPr="00823728">
        <w:rPr>
          <w:color w:val="222222"/>
          <w:shd w:val="clear" w:color="auto" w:fill="FFFFFF"/>
        </w:rPr>
        <w:t>fue “El crimen de Tekax</w:t>
      </w:r>
      <w:r w:rsidR="002F25A5" w:rsidRPr="00131DC8">
        <w:rPr>
          <w:color w:val="222222"/>
          <w:shd w:val="clear" w:color="auto" w:fill="FFFFFF"/>
        </w:rPr>
        <w:t>” por parte de</w:t>
      </w:r>
      <w:r w:rsidR="008727B0">
        <w:rPr>
          <w:color w:val="222222"/>
          <w:shd w:val="clear" w:color="auto" w:fill="FFFFFF"/>
        </w:rPr>
        <w:t xml:space="preserve"> </w:t>
      </w:r>
      <w:r w:rsidR="008727B0">
        <w:rPr>
          <w:i/>
          <w:color w:val="222222"/>
          <w:shd w:val="clear" w:color="auto" w:fill="FFFFFF"/>
        </w:rPr>
        <w:t>El</w:t>
      </w:r>
      <w:r w:rsidR="002F25A5" w:rsidRPr="00131DC8">
        <w:rPr>
          <w:color w:val="222222"/>
          <w:shd w:val="clear" w:color="auto" w:fill="FFFFFF"/>
        </w:rPr>
        <w:t xml:space="preserve"> </w:t>
      </w:r>
      <w:r w:rsidR="002F25A5" w:rsidRPr="00131DC8">
        <w:rPr>
          <w:i/>
          <w:color w:val="222222"/>
          <w:shd w:val="clear" w:color="auto" w:fill="FFFFFF"/>
        </w:rPr>
        <w:t>Eco</w:t>
      </w:r>
      <w:r w:rsidR="00275C4D" w:rsidRPr="00131DC8">
        <w:rPr>
          <w:color w:val="222222"/>
          <w:shd w:val="clear" w:color="auto" w:fill="FFFFFF"/>
        </w:rPr>
        <w:t xml:space="preserve">, </w:t>
      </w:r>
      <w:r w:rsidR="002F25A5" w:rsidRPr="00131DC8">
        <w:rPr>
          <w:color w:val="222222"/>
          <w:shd w:val="clear" w:color="auto" w:fill="FFFFFF"/>
        </w:rPr>
        <w:t>que dio</w:t>
      </w:r>
      <w:r w:rsidR="00275C4D" w:rsidRPr="00131DC8">
        <w:rPr>
          <w:color w:val="222222"/>
          <w:shd w:val="clear" w:color="auto" w:fill="FFFFFF"/>
        </w:rPr>
        <w:t xml:space="preserve"> seguimiento del caso, para lo </w:t>
      </w:r>
      <w:r w:rsidR="002F25A5" w:rsidRPr="00131DC8">
        <w:rPr>
          <w:color w:val="222222"/>
          <w:shd w:val="clear" w:color="auto" w:fill="FFFFFF"/>
        </w:rPr>
        <w:t>cual</w:t>
      </w:r>
      <w:r w:rsidR="00275C4D" w:rsidRPr="00131DC8">
        <w:rPr>
          <w:color w:val="222222"/>
          <w:shd w:val="clear" w:color="auto" w:fill="FFFFFF"/>
        </w:rPr>
        <w:t xml:space="preserve"> se requirió acudir al lugar de los hechos y tomar nota de todo lo que permitiera aclarar el homicidio.</w:t>
      </w:r>
    </w:p>
    <w:p w14:paraId="09A5C634" w14:textId="77777777" w:rsidR="00275C4D" w:rsidRDefault="00275C4D" w:rsidP="00131DC8">
      <w:pPr>
        <w:spacing w:line="480" w:lineRule="auto"/>
        <w:ind w:firstLine="708"/>
        <w:jc w:val="both"/>
        <w:rPr>
          <w:highlight w:val="yellow"/>
        </w:rPr>
      </w:pPr>
    </w:p>
    <w:p w14:paraId="210B997B" w14:textId="6E6A12BB" w:rsidR="00B25655" w:rsidRPr="00131DC8" w:rsidRDefault="00131DC8" w:rsidP="00131DC8">
      <w:pPr>
        <w:spacing w:line="480" w:lineRule="auto"/>
        <w:jc w:val="both"/>
        <w:rPr>
          <w:b/>
        </w:rPr>
      </w:pPr>
      <w:r w:rsidRPr="00131DC8">
        <w:rPr>
          <w:b/>
        </w:rPr>
        <w:t>Antecedentes</w:t>
      </w:r>
    </w:p>
    <w:p w14:paraId="1B063FF5" w14:textId="2D542263" w:rsidR="005D4591" w:rsidRPr="00B827A9" w:rsidRDefault="001A28FB" w:rsidP="00131DC8">
      <w:pPr>
        <w:spacing w:line="480" w:lineRule="auto"/>
        <w:jc w:val="both"/>
      </w:pPr>
      <w:r>
        <w:t>Al inicio de la década de 1880 l</w:t>
      </w:r>
      <w:r w:rsidR="007D29EB">
        <w:t xml:space="preserve">a prensa </w:t>
      </w:r>
      <w:r>
        <w:t>yucateca</w:t>
      </w:r>
      <w:r w:rsidR="00E712B3">
        <w:t xml:space="preserve"> ya</w:t>
      </w:r>
      <w:r>
        <w:t xml:space="preserve"> </w:t>
      </w:r>
      <w:r w:rsidR="007D29EB">
        <w:t xml:space="preserve">presentaba </w:t>
      </w:r>
      <w:r w:rsidR="00213030">
        <w:t xml:space="preserve">descripciones de </w:t>
      </w:r>
      <w:r w:rsidR="007D29EB">
        <w:t>crímenes de</w:t>
      </w:r>
      <w:r w:rsidR="007D29EB" w:rsidRPr="006A0D1F">
        <w:t xml:space="preserve"> jornaleros</w:t>
      </w:r>
      <w:r>
        <w:t xml:space="preserve">. </w:t>
      </w:r>
      <w:r w:rsidR="007D29EB">
        <w:rPr>
          <w:i/>
        </w:rPr>
        <w:t>La Revista de Mérida</w:t>
      </w:r>
      <w:r w:rsidR="0090779A">
        <w:rPr>
          <w:rStyle w:val="Refdenotaalpie"/>
          <w:i/>
        </w:rPr>
        <w:footnoteReference w:id="3"/>
      </w:r>
      <w:r w:rsidR="007D29EB">
        <w:rPr>
          <w:i/>
        </w:rPr>
        <w:t xml:space="preserve"> </w:t>
      </w:r>
      <w:r w:rsidR="00213030">
        <w:t xml:space="preserve">publicó </w:t>
      </w:r>
      <w:r w:rsidR="002F25A5">
        <w:t xml:space="preserve">el 24 de febrero de 1882 </w:t>
      </w:r>
      <w:r w:rsidR="00213030">
        <w:t xml:space="preserve">que </w:t>
      </w:r>
      <w:r w:rsidR="002F25A5">
        <w:t>los crímenes estaban aumentando</w:t>
      </w:r>
      <w:r w:rsidR="00131DC8">
        <w:t>.</w:t>
      </w:r>
      <w:r>
        <w:t xml:space="preserve"> </w:t>
      </w:r>
      <w:r w:rsidR="002F25A5" w:rsidRPr="00F00408">
        <w:t xml:space="preserve">Para </w:t>
      </w:r>
      <w:r w:rsidR="00131DC8" w:rsidRPr="00F00408">
        <w:t>Castillo</w:t>
      </w:r>
      <w:r w:rsidR="00131DC8" w:rsidRPr="00B25655">
        <w:t>,</w:t>
      </w:r>
      <w:r w:rsidR="00131DC8">
        <w:t xml:space="preserve"> este</w:t>
      </w:r>
      <w:r w:rsidR="002F25A5" w:rsidRPr="00F00408">
        <w:t xml:space="preserve"> incremento era resultado de la tensión social </w:t>
      </w:r>
      <w:r w:rsidR="00213030">
        <w:t>debida al</w:t>
      </w:r>
      <w:r w:rsidR="002F25A5" w:rsidRPr="00F00408">
        <w:t xml:space="preserve"> crecimiento modernizador</w:t>
      </w:r>
      <w:r w:rsidR="002F25A5" w:rsidRPr="00B25655">
        <w:rPr>
          <w:i/>
        </w:rPr>
        <w:t xml:space="preserve"> </w:t>
      </w:r>
      <w:r w:rsidR="002F25A5" w:rsidRPr="00D03859">
        <w:t>(Castillo, 1995</w:t>
      </w:r>
      <w:r w:rsidR="00D03859">
        <w:t>:</w:t>
      </w:r>
      <w:r w:rsidR="002F25A5" w:rsidRPr="00D03859">
        <w:t xml:space="preserve"> 36-38).</w:t>
      </w:r>
      <w:r w:rsidR="00D03859">
        <w:t xml:space="preserve"> </w:t>
      </w:r>
      <w:r w:rsidR="002F25A5" w:rsidRPr="00131DC8">
        <w:t xml:space="preserve">También </w:t>
      </w:r>
      <w:r w:rsidR="002F25A5" w:rsidRPr="00131DC8">
        <w:rPr>
          <w:i/>
        </w:rPr>
        <w:t>La Revista</w:t>
      </w:r>
      <w:r w:rsidR="002F25A5">
        <w:t xml:space="preserve">, </w:t>
      </w:r>
      <w:r w:rsidR="002F25A5" w:rsidRPr="00131DC8">
        <w:t>en otra noticia</w:t>
      </w:r>
      <w:r w:rsidR="002F25A5">
        <w:rPr>
          <w:i/>
        </w:rPr>
        <w:t xml:space="preserve"> </w:t>
      </w:r>
      <w:r w:rsidR="00213030">
        <w:t>d</w:t>
      </w:r>
      <w:r w:rsidR="002F25A5" w:rsidRPr="00131DC8">
        <w:t>el 21 de julio de 1887,</w:t>
      </w:r>
      <w:r w:rsidR="002F25A5" w:rsidRPr="002F25A5">
        <w:t xml:space="preserve"> </w:t>
      </w:r>
      <w:r w:rsidR="002F25A5">
        <w:t>expresó</w:t>
      </w:r>
      <w:r w:rsidR="007D29EB">
        <w:t xml:space="preserve"> “</w:t>
      </w:r>
      <w:r w:rsidR="002F25A5" w:rsidRPr="00131DC8">
        <w:rPr>
          <w:i/>
        </w:rPr>
        <w:t>es</w:t>
      </w:r>
      <w:r w:rsidR="002F25A5">
        <w:t xml:space="preserve"> </w:t>
      </w:r>
      <w:r w:rsidR="007D29EB">
        <w:rPr>
          <w:i/>
        </w:rPr>
        <w:t>de</w:t>
      </w:r>
      <w:r w:rsidR="007D29EB" w:rsidRPr="006A0D1F">
        <w:rPr>
          <w:i/>
        </w:rPr>
        <w:t xml:space="preserve"> lamentarse que a pesar del tiempo transcurrido poco se ha hecho por esclarec</w:t>
      </w:r>
      <w:r w:rsidR="007D29EB">
        <w:rPr>
          <w:i/>
        </w:rPr>
        <w:t>er lo</w:t>
      </w:r>
      <w:r w:rsidR="007D29EB" w:rsidRPr="006A0D1F">
        <w:rPr>
          <w:i/>
        </w:rPr>
        <w:t xml:space="preserve"> consumado </w:t>
      </w:r>
      <w:r w:rsidR="007D29EB">
        <w:rPr>
          <w:i/>
        </w:rPr>
        <w:t>entre</w:t>
      </w:r>
      <w:r w:rsidR="007D29EB" w:rsidRPr="006A0D1F">
        <w:rPr>
          <w:i/>
        </w:rPr>
        <w:t xml:space="preserve"> los labradores. Deben los jueces poner en actividad toda su inteligencia para descorrer el oscuro velo que encubre a los delincuentes. Es preciso que brille la verdad jurídica. </w:t>
      </w:r>
      <w:r w:rsidR="00D03859">
        <w:t>E</w:t>
      </w:r>
      <w:r w:rsidR="006C7279">
        <w:t>n</w:t>
      </w:r>
      <w:r w:rsidR="005D4591">
        <w:t xml:space="preserve"> el contexto yucateco de la época</w:t>
      </w:r>
      <w:r w:rsidR="00D03859">
        <w:t xml:space="preserve"> había </w:t>
      </w:r>
      <w:r w:rsidR="005D4591">
        <w:t>un aumento en el número de crímenes</w:t>
      </w:r>
      <w:r w:rsidR="00D03859">
        <w:t xml:space="preserve">, por lo que </w:t>
      </w:r>
      <w:r w:rsidR="00E712B3">
        <w:t xml:space="preserve">desde la prensa </w:t>
      </w:r>
      <w:r w:rsidR="00D03859">
        <w:t xml:space="preserve">se </w:t>
      </w:r>
      <w:r w:rsidR="004E401E">
        <w:t>exigía</w:t>
      </w:r>
      <w:r w:rsidR="005D4591">
        <w:t xml:space="preserve"> esclarecer los delitos y aplicar </w:t>
      </w:r>
      <w:r w:rsidR="004E401E">
        <w:t xml:space="preserve">la ley contra </w:t>
      </w:r>
      <w:r w:rsidR="005D4591">
        <w:t>quien resultara responsable.</w:t>
      </w:r>
    </w:p>
    <w:p w14:paraId="2299EA4B" w14:textId="75C428F6" w:rsidR="007D29EB" w:rsidRPr="006A0D1F" w:rsidRDefault="006C7279" w:rsidP="006C7279">
      <w:pPr>
        <w:spacing w:line="480" w:lineRule="auto"/>
        <w:ind w:firstLine="708"/>
        <w:jc w:val="both"/>
      </w:pPr>
      <w:r>
        <w:t xml:space="preserve">En el caso </w:t>
      </w:r>
      <w:r w:rsidRPr="006C7279">
        <w:t xml:space="preserve">“Lo de Maxcanú”, </w:t>
      </w:r>
      <w:r>
        <w:t xml:space="preserve">publicado en </w:t>
      </w:r>
      <w:r w:rsidRPr="00B827A9">
        <w:rPr>
          <w:i/>
        </w:rPr>
        <w:t>La Revista</w:t>
      </w:r>
      <w:r w:rsidRPr="006C7279">
        <w:t xml:space="preserve"> </w:t>
      </w:r>
      <w:r>
        <w:t xml:space="preserve">el 8 de enero de 1895, se </w:t>
      </w:r>
      <w:r w:rsidR="00C0425F">
        <w:t xml:space="preserve">relató </w:t>
      </w:r>
      <w:r>
        <w:t xml:space="preserve">que </w:t>
      </w:r>
      <w:r w:rsidR="007D29EB" w:rsidRPr="006A0D1F">
        <w:t xml:space="preserve">el Capitán Idelfonso Sánchez </w:t>
      </w:r>
      <w:r w:rsidR="007D29EB">
        <w:t xml:space="preserve">asesinó, con tiro de revolver, </w:t>
      </w:r>
      <w:r w:rsidR="007D29EB" w:rsidRPr="006A0D1F">
        <w:t>a Trinidad Chim</w:t>
      </w:r>
      <w:r w:rsidR="007D29EB">
        <w:t xml:space="preserve"> porque él y otros</w:t>
      </w:r>
      <w:r w:rsidR="007D29EB" w:rsidRPr="006A0D1F">
        <w:t xml:space="preserve"> dos individuos</w:t>
      </w:r>
      <w:r w:rsidR="007D29EB">
        <w:t xml:space="preserve"> que apresó</w:t>
      </w:r>
      <w:r w:rsidR="007D29EB" w:rsidRPr="006A0D1F">
        <w:t xml:space="preserve"> se negaban a ir a Sahcab a construir la Casa Escuela </w:t>
      </w:r>
      <w:r w:rsidR="007D29EB">
        <w:t>que ordenó el Jefe Político.</w:t>
      </w:r>
      <w:r w:rsidR="007D29EB" w:rsidRPr="006A0D1F">
        <w:t xml:space="preserve"> </w:t>
      </w:r>
      <w:r w:rsidR="004E401E">
        <w:t xml:space="preserve">Este fue un </w:t>
      </w:r>
      <w:r w:rsidR="007D29EB" w:rsidRPr="006A0D1F">
        <w:t xml:space="preserve">escarmiento público </w:t>
      </w:r>
      <w:r>
        <w:t>ejecutado por</w:t>
      </w:r>
      <w:r w:rsidR="007D29EB" w:rsidRPr="006A0D1F">
        <w:t xml:space="preserve"> las autoridades militares</w:t>
      </w:r>
      <w:r w:rsidR="004E401E">
        <w:t xml:space="preserve">, un </w:t>
      </w:r>
      <w:r w:rsidR="00E712B3">
        <w:t xml:space="preserve">ejemplar </w:t>
      </w:r>
      <w:r w:rsidR="004E401E">
        <w:t xml:space="preserve">castigo </w:t>
      </w:r>
      <w:r w:rsidR="00E712B3">
        <w:t>con</w:t>
      </w:r>
      <w:r w:rsidR="007D29EB" w:rsidRPr="006A0D1F">
        <w:t xml:space="preserve"> la misión de disciplinar a la gente</w:t>
      </w:r>
      <w:r w:rsidR="007D29EB">
        <w:t xml:space="preserve"> (Foucault, </w:t>
      </w:r>
      <w:r w:rsidR="00BD1B1A">
        <w:t>1990</w:t>
      </w:r>
      <w:r w:rsidR="007D29EB">
        <w:t>)</w:t>
      </w:r>
      <w:r w:rsidR="007D29EB" w:rsidRPr="006A0D1F">
        <w:t xml:space="preserve">. </w:t>
      </w:r>
      <w:r w:rsidRPr="00B51D63">
        <w:rPr>
          <w:i/>
        </w:rPr>
        <w:t>La Revista</w:t>
      </w:r>
      <w:r>
        <w:t xml:space="preserve"> consideró que dicho acontecimiento</w:t>
      </w:r>
      <w:r w:rsidR="00EF1F86">
        <w:t xml:space="preserve">: </w:t>
      </w:r>
      <w:r w:rsidR="007D29EB" w:rsidRPr="006A0D1F">
        <w:t>“</w:t>
      </w:r>
      <w:r w:rsidR="007D29EB" w:rsidRPr="006A0D1F">
        <w:rPr>
          <w:i/>
        </w:rPr>
        <w:t>pugna contra el estado de civilización ultrajando a la sociedad</w:t>
      </w:r>
      <w:r w:rsidR="00B51D63">
        <w:rPr>
          <w:i/>
        </w:rPr>
        <w:t>.</w:t>
      </w:r>
      <w:r w:rsidR="007D29EB" w:rsidRPr="006A0D1F">
        <w:rPr>
          <w:i/>
        </w:rPr>
        <w:t xml:space="preserve">” </w:t>
      </w:r>
      <w:r w:rsidR="00204444">
        <w:t xml:space="preserve">Estos </w:t>
      </w:r>
      <w:r w:rsidR="00E712B3">
        <w:t>ejemplos muestran el interés de la</w:t>
      </w:r>
      <w:r w:rsidR="00D03859">
        <w:t xml:space="preserve"> población meridana sobre los sucesos que acontecían en las áreas rurales. El crimen continuó registrándose, sin embargo</w:t>
      </w:r>
      <w:r w:rsidR="00E712B3">
        <w:t>,</w:t>
      </w:r>
      <w:r w:rsidR="00D03859">
        <w:t xml:space="preserve"> la forma de retratar a los criminales fue cambiando al igual que la manera de narrar los sucesos. </w:t>
      </w:r>
    </w:p>
    <w:p w14:paraId="70265848" w14:textId="77777777" w:rsidR="004E401E" w:rsidRDefault="00D03859" w:rsidP="00B51D63">
      <w:pPr>
        <w:spacing w:line="480" w:lineRule="auto"/>
        <w:jc w:val="both"/>
      </w:pPr>
      <w:r w:rsidRPr="006A0D1F" w:rsidDel="00D03859">
        <w:t xml:space="preserve"> </w:t>
      </w:r>
    </w:p>
    <w:p w14:paraId="1813079C" w14:textId="0A15B5B3" w:rsidR="00823728" w:rsidRPr="00B51D63" w:rsidRDefault="00823728" w:rsidP="00B51D63">
      <w:pPr>
        <w:spacing w:line="480" w:lineRule="auto"/>
        <w:jc w:val="both"/>
        <w:rPr>
          <w:b/>
        </w:rPr>
      </w:pPr>
      <w:r w:rsidRPr="00B51D63">
        <w:rPr>
          <w:b/>
        </w:rPr>
        <w:t>“Crimen de Tekax”</w:t>
      </w:r>
    </w:p>
    <w:p w14:paraId="23043141" w14:textId="0027391D" w:rsidR="009D5F29" w:rsidRDefault="007057E5" w:rsidP="005077A8">
      <w:pPr>
        <w:spacing w:line="480" w:lineRule="auto"/>
        <w:jc w:val="both"/>
      </w:pPr>
      <w:r>
        <w:t>Una</w:t>
      </w:r>
      <w:r w:rsidR="00B51D63">
        <w:t xml:space="preserve"> </w:t>
      </w:r>
      <w:r w:rsidR="00EF1F86">
        <w:t xml:space="preserve">narración periodística </w:t>
      </w:r>
      <w:r>
        <w:t xml:space="preserve">que describía </w:t>
      </w:r>
      <w:r w:rsidR="00EF1F86">
        <w:t>l</w:t>
      </w:r>
      <w:r w:rsidR="002D46B0" w:rsidRPr="006A0D1F">
        <w:t>a muerte violenta de un jornalero</w:t>
      </w:r>
      <w:r>
        <w:t xml:space="preserve"> </w:t>
      </w:r>
      <w:r w:rsidR="00A107D2">
        <w:t xml:space="preserve">recibió una gran cobertura por </w:t>
      </w:r>
      <w:r w:rsidR="00EF1F86">
        <w:t xml:space="preserve">parte de </w:t>
      </w:r>
      <w:r w:rsidR="002D46B0" w:rsidRPr="006A0D1F">
        <w:rPr>
          <w:i/>
        </w:rPr>
        <w:t>El Eco</w:t>
      </w:r>
      <w:r w:rsidR="00EF1F86">
        <w:rPr>
          <w:i/>
        </w:rPr>
        <w:t>,</w:t>
      </w:r>
      <w:r w:rsidR="0090779A">
        <w:rPr>
          <w:rStyle w:val="Refdenotaalpie"/>
          <w:i/>
        </w:rPr>
        <w:footnoteReference w:id="4"/>
      </w:r>
      <w:r w:rsidR="00EF1F86">
        <w:rPr>
          <w:i/>
        </w:rPr>
        <w:t xml:space="preserve"> </w:t>
      </w:r>
      <w:r w:rsidR="00EF1F86">
        <w:t>fue</w:t>
      </w:r>
      <w:r w:rsidR="007A56FB">
        <w:t xml:space="preserve"> </w:t>
      </w:r>
      <w:r w:rsidR="002D46B0" w:rsidRPr="006A0D1F">
        <w:t>“</w:t>
      </w:r>
      <w:r w:rsidR="00F524E8">
        <w:rPr>
          <w:i/>
        </w:rPr>
        <w:t>El crimen de Tekax</w:t>
      </w:r>
      <w:r w:rsidR="002D46B0" w:rsidRPr="006A0D1F">
        <w:t xml:space="preserve">.” </w:t>
      </w:r>
      <w:r w:rsidR="00E712B3">
        <w:t>Cabe subrayar que tras</w:t>
      </w:r>
      <w:r w:rsidR="00E712B3" w:rsidRPr="006A0D1F">
        <w:t xml:space="preserve"> una ardua revisión hemerográfica</w:t>
      </w:r>
      <w:r w:rsidR="00E712B3">
        <w:t xml:space="preserve">, no hay evidencias de otro crimen tan documentado por un periódico durante el </w:t>
      </w:r>
      <w:r w:rsidR="00CD238B">
        <w:t xml:space="preserve">Porfiriato </w:t>
      </w:r>
      <w:r w:rsidR="00E712B3">
        <w:t>en Yucatán</w:t>
      </w:r>
      <w:r>
        <w:t>.</w:t>
      </w:r>
      <w:r w:rsidR="00F00408">
        <w:t xml:space="preserve"> </w:t>
      </w:r>
      <w:r>
        <w:t>L</w:t>
      </w:r>
      <w:r w:rsidR="00D91B92">
        <w:t>a noticia</w:t>
      </w:r>
      <w:r w:rsidR="00FA4DD7">
        <w:t xml:space="preserve"> se publicó de tres a cuatro veces por semana alrededor de tres meses</w:t>
      </w:r>
      <w:r w:rsidR="00A107D2">
        <w:t>.</w:t>
      </w:r>
    </w:p>
    <w:p w14:paraId="4F0B4A14" w14:textId="32316158" w:rsidR="00EF2D2E" w:rsidRPr="006A0D1F" w:rsidRDefault="00EF2D2E" w:rsidP="002D3E29">
      <w:pPr>
        <w:spacing w:line="480" w:lineRule="auto"/>
        <w:ind w:firstLine="708"/>
        <w:jc w:val="both"/>
      </w:pPr>
      <w:r>
        <w:rPr>
          <w:lang w:val="es-ES"/>
        </w:rPr>
        <w:t xml:space="preserve">Todo sucedió en Tekax (significa “lugar agreste”), </w:t>
      </w:r>
      <w:r w:rsidR="00CD238B">
        <w:rPr>
          <w:lang w:val="es-ES"/>
        </w:rPr>
        <w:t xml:space="preserve">sitio </w:t>
      </w:r>
      <w:r>
        <w:rPr>
          <w:lang w:val="es-ES"/>
        </w:rPr>
        <w:t xml:space="preserve">que antes de la conquista perteneció a la provincia de Tutul Xiu, tras la conquista conformó una encomienda. En 1823 se consolidó como cabecera y en 1825 formó parte del partido de “Alta Sierra”. En 1840 recibió dicho nombre, al año siguiente el Congreso le concedió a esta villa el título de ciudad. </w:t>
      </w:r>
      <w:r w:rsidR="00E712B3">
        <w:rPr>
          <w:lang w:val="es-ES"/>
        </w:rPr>
        <w:t>Ahí</w:t>
      </w:r>
      <w:r w:rsidR="007F396C">
        <w:rPr>
          <w:lang w:val="es-ES"/>
        </w:rPr>
        <w:t xml:space="preserve"> se estableció un cuartel militar para contener a los mayas rebeldes de la guerra de castas y se </w:t>
      </w:r>
      <w:r>
        <w:rPr>
          <w:lang w:val="es-ES"/>
        </w:rPr>
        <w:t>comenzó a explotar en este lugar la caña de azúcar</w:t>
      </w:r>
      <w:r w:rsidR="007F396C">
        <w:rPr>
          <w:lang w:val="es-ES"/>
        </w:rPr>
        <w:t>. En septiembre de ese año t</w:t>
      </w:r>
      <w:r>
        <w:rPr>
          <w:lang w:val="es-ES"/>
        </w:rPr>
        <w:t xml:space="preserve">ropas estadounidenses entraron para apaciguar a los mayas. En 1850 volvió a ser atacada y el 14 de septiembre de 1857 hubo una matanza que permitió expulsar a los mayas rebeldes. En 1877 se comenzó a plantar henequén </w:t>
      </w:r>
      <w:r w:rsidR="007F396C">
        <w:rPr>
          <w:lang w:val="es-ES"/>
        </w:rPr>
        <w:t>en</w:t>
      </w:r>
      <w:r>
        <w:rPr>
          <w:lang w:val="es-ES"/>
        </w:rPr>
        <w:t xml:space="preserve"> Tekax</w:t>
      </w:r>
      <w:r w:rsidR="007F396C">
        <w:rPr>
          <w:lang w:val="es-ES"/>
        </w:rPr>
        <w:t xml:space="preserve">, por lo que </w:t>
      </w:r>
      <w:r>
        <w:rPr>
          <w:lang w:val="es-ES"/>
        </w:rPr>
        <w:t xml:space="preserve">el trasporte de esta materia prima hizo indispensable la aparición del ferrocarril en 1893. Esta prospera región contó con dos periódicos: </w:t>
      </w:r>
      <w:r>
        <w:rPr>
          <w:i/>
          <w:lang w:val="es-ES"/>
        </w:rPr>
        <w:t>El Fronterizo</w:t>
      </w:r>
      <w:r>
        <w:rPr>
          <w:lang w:val="es-ES"/>
        </w:rPr>
        <w:t xml:space="preserve"> que circuló de 1879-1888 y </w:t>
      </w:r>
      <w:r>
        <w:rPr>
          <w:i/>
          <w:lang w:val="es-ES"/>
        </w:rPr>
        <w:t>El Eco de la Sierra</w:t>
      </w:r>
      <w:r>
        <w:rPr>
          <w:lang w:val="es-ES"/>
        </w:rPr>
        <w:t xml:space="preserve"> en </w:t>
      </w:r>
      <w:r w:rsidR="006562FC">
        <w:rPr>
          <w:lang w:val="es-ES"/>
        </w:rPr>
        <w:t>1890-</w:t>
      </w:r>
      <w:r w:rsidRPr="006562FC">
        <w:rPr>
          <w:lang w:val="es-ES"/>
        </w:rPr>
        <w:t>1899</w:t>
      </w:r>
      <w:r w:rsidRPr="001B736E">
        <w:rPr>
          <w:highlight w:val="yellow"/>
          <w:lang w:val="es-ES"/>
        </w:rPr>
        <w:t xml:space="preserve"> </w:t>
      </w:r>
      <w:r w:rsidRPr="006562FC">
        <w:rPr>
          <w:lang w:val="es-ES"/>
        </w:rPr>
        <w:t>(</w:t>
      </w:r>
      <w:r w:rsidRPr="00DB0026">
        <w:rPr>
          <w:lang w:val="es-ES"/>
        </w:rPr>
        <w:t xml:space="preserve">Enciclopedia </w:t>
      </w:r>
      <w:r w:rsidRPr="00DB0026">
        <w:rPr>
          <w:iCs/>
          <w:lang w:val="es-ES"/>
        </w:rPr>
        <w:t>Yucatán</w:t>
      </w:r>
      <w:r w:rsidR="00B564CC">
        <w:rPr>
          <w:iCs/>
          <w:lang w:val="es-ES"/>
        </w:rPr>
        <w:t>,</w:t>
      </w:r>
      <w:r w:rsidRPr="00DB0026">
        <w:rPr>
          <w:iCs/>
          <w:lang w:val="es-ES"/>
        </w:rPr>
        <w:t xml:space="preserve"> </w:t>
      </w:r>
      <w:r w:rsidRPr="006562FC">
        <w:rPr>
          <w:iCs/>
          <w:lang w:val="es-ES"/>
        </w:rPr>
        <w:t>1998:</w:t>
      </w:r>
      <w:r w:rsidRPr="006562FC">
        <w:rPr>
          <w:lang w:val="es-ES"/>
        </w:rPr>
        <w:t xml:space="preserve"> 548-549).</w:t>
      </w:r>
    </w:p>
    <w:p w14:paraId="4B3423E0" w14:textId="611206D9" w:rsidR="002D46B0" w:rsidRPr="006A0D1F" w:rsidRDefault="00FD2F26">
      <w:pPr>
        <w:spacing w:line="480" w:lineRule="auto"/>
        <w:ind w:firstLine="708"/>
        <w:jc w:val="both"/>
        <w:rPr>
          <w:i/>
        </w:rPr>
      </w:pPr>
      <w:r>
        <w:t>E</w:t>
      </w:r>
      <w:r w:rsidR="00915950" w:rsidRPr="006A0D1F">
        <w:t xml:space="preserve">l </w:t>
      </w:r>
      <w:r w:rsidR="002D46B0" w:rsidRPr="006A0D1F">
        <w:t xml:space="preserve">23 de agosto de 1890 </w:t>
      </w:r>
      <w:r w:rsidR="00915950" w:rsidRPr="006A0D1F">
        <w:rPr>
          <w:i/>
        </w:rPr>
        <w:t xml:space="preserve">El Eco </w:t>
      </w:r>
      <w:r w:rsidR="00F524E8">
        <w:t>publicó</w:t>
      </w:r>
      <w:r w:rsidR="00A107D2">
        <w:t xml:space="preserve"> </w:t>
      </w:r>
      <w:r w:rsidR="00A00514">
        <w:t>en una nota que</w:t>
      </w:r>
      <w:r w:rsidR="00A107D2">
        <w:t xml:space="preserve"> </w:t>
      </w:r>
      <w:r w:rsidR="00F524E8">
        <w:t>e</w:t>
      </w:r>
      <w:r w:rsidR="002D46B0" w:rsidRPr="006A0D1F">
        <w:t>n Tekax</w:t>
      </w:r>
      <w:r w:rsidR="00A00514">
        <w:t>:</w:t>
      </w:r>
      <w:r w:rsidR="002D46B0" w:rsidRPr="006A0D1F">
        <w:t xml:space="preserve"> “</w:t>
      </w:r>
      <w:r w:rsidR="002D46B0" w:rsidRPr="006A0D1F">
        <w:rPr>
          <w:i/>
        </w:rPr>
        <w:t>del lado norte de la población que conduce al pueblo de Pencuyut</w:t>
      </w:r>
      <w:r w:rsidR="00C14EC2">
        <w:rPr>
          <w:i/>
        </w:rPr>
        <w:t>,</w:t>
      </w:r>
      <w:r w:rsidR="002D46B0" w:rsidRPr="006A0D1F">
        <w:rPr>
          <w:i/>
        </w:rPr>
        <w:t xml:space="preserve"> sorprendieron a un perro que traía una cabeza humana</w:t>
      </w:r>
      <w:r w:rsidR="00C14EC2">
        <w:rPr>
          <w:i/>
        </w:rPr>
        <w:t>,</w:t>
      </w:r>
      <w:r w:rsidR="002D46B0" w:rsidRPr="006A0D1F">
        <w:rPr>
          <w:i/>
        </w:rPr>
        <w:t xml:space="preserve"> esas buenas gentes </w:t>
      </w:r>
      <w:r w:rsidR="00C14EC2">
        <w:rPr>
          <w:i/>
        </w:rPr>
        <w:t xml:space="preserve">lograron </w:t>
      </w:r>
      <w:r w:rsidR="002D46B0" w:rsidRPr="006A0D1F">
        <w:rPr>
          <w:i/>
        </w:rPr>
        <w:t xml:space="preserve">que el perro dejara a su presa e inmediatamente </w:t>
      </w:r>
      <w:r w:rsidR="00C14EC2">
        <w:rPr>
          <w:i/>
        </w:rPr>
        <w:t>se</w:t>
      </w:r>
      <w:r w:rsidR="002D46B0" w:rsidRPr="006A0D1F">
        <w:rPr>
          <w:i/>
        </w:rPr>
        <w:t xml:space="preserve"> dio parte del </w:t>
      </w:r>
      <w:r w:rsidR="00A46B01">
        <w:rPr>
          <w:i/>
        </w:rPr>
        <w:t>suceso.”</w:t>
      </w:r>
      <w:r w:rsidR="00CE1084">
        <w:rPr>
          <w:i/>
        </w:rPr>
        <w:t xml:space="preserve"> </w:t>
      </w:r>
      <w:r w:rsidR="00A107D2">
        <w:t>L</w:t>
      </w:r>
      <w:r w:rsidR="00065730" w:rsidRPr="006A0D1F">
        <w:t xml:space="preserve">a nota cuenta que </w:t>
      </w:r>
      <w:r w:rsidR="002D46B0" w:rsidRPr="006A0D1F">
        <w:t xml:space="preserve">la autoridad no </w:t>
      </w:r>
      <w:r w:rsidR="00065730" w:rsidRPr="006A0D1F">
        <w:t xml:space="preserve">podía </w:t>
      </w:r>
      <w:r w:rsidR="002D46B0" w:rsidRPr="006A0D1F">
        <w:t>descubrir la autoría del crimen ni la identidad de la víctima</w:t>
      </w:r>
      <w:r w:rsidR="00065730" w:rsidRPr="006A0D1F">
        <w:t xml:space="preserve"> porque </w:t>
      </w:r>
      <w:r w:rsidR="002D46B0" w:rsidRPr="006A0D1F">
        <w:t>la cabeza estaba mal trecha</w:t>
      </w:r>
      <w:r w:rsidR="00065730" w:rsidRPr="006A0D1F">
        <w:t xml:space="preserve">. </w:t>
      </w:r>
      <w:r w:rsidR="00BD20C8">
        <w:t>Fu</w:t>
      </w:r>
      <w:r>
        <w:t>eron</w:t>
      </w:r>
      <w:r w:rsidR="00065730" w:rsidRPr="006A0D1F">
        <w:t xml:space="preserve"> el reportero y las autoridades </w:t>
      </w:r>
      <w:r w:rsidR="00BD20C8">
        <w:t xml:space="preserve">quienes </w:t>
      </w:r>
      <w:r w:rsidR="00081D89">
        <w:t>encontraron</w:t>
      </w:r>
      <w:r w:rsidR="00BD20C8">
        <w:t>,</w:t>
      </w:r>
      <w:r w:rsidR="00065730" w:rsidRPr="006A0D1F">
        <w:t xml:space="preserve"> siguiendo al can, </w:t>
      </w:r>
      <w:r w:rsidR="00DF4CEB">
        <w:t>e</w:t>
      </w:r>
      <w:r w:rsidR="00065730" w:rsidRPr="006A0D1F">
        <w:t xml:space="preserve">l </w:t>
      </w:r>
      <w:r w:rsidR="002D46B0" w:rsidRPr="006A0D1F">
        <w:t>resto del cadáver decapitado</w:t>
      </w:r>
      <w:r w:rsidR="00065730" w:rsidRPr="006A0D1F">
        <w:t xml:space="preserve"> </w:t>
      </w:r>
      <w:r w:rsidR="002D46B0" w:rsidRPr="006A0D1F">
        <w:t>entre espinas y zarzas</w:t>
      </w:r>
      <w:r w:rsidR="00BD20C8">
        <w:t>. E</w:t>
      </w:r>
      <w:r w:rsidR="00065730" w:rsidRPr="006A0D1F">
        <w:t xml:space="preserve">l </w:t>
      </w:r>
      <w:r w:rsidR="00915950" w:rsidRPr="006A0D1F">
        <w:t xml:space="preserve">hallazgo fue descrito de la siguiente forma: </w:t>
      </w:r>
      <w:r w:rsidR="002D46B0" w:rsidRPr="006A0D1F">
        <w:t>“</w:t>
      </w:r>
      <w:r w:rsidR="002D46B0" w:rsidRPr="006A0D1F">
        <w:rPr>
          <w:i/>
        </w:rPr>
        <w:t>¿Cómo estaba la cabeza y c</w:t>
      </w:r>
      <w:r w:rsidR="00915950" w:rsidRPr="006A0D1F">
        <w:rPr>
          <w:i/>
        </w:rPr>
        <w:t>ó</w:t>
      </w:r>
      <w:r w:rsidR="002D46B0" w:rsidRPr="006A0D1F">
        <w:rPr>
          <w:i/>
        </w:rPr>
        <w:t xml:space="preserve">mo el resto del cuerpo? ¡Horror! La crueldad llegaba a su último grado”. </w:t>
      </w:r>
      <w:r w:rsidR="00065730" w:rsidRPr="006A0D1F">
        <w:t>No sabían quién(es) era(n) responsable(s) del hecho, pero fueron catalogados como:</w:t>
      </w:r>
      <w:r w:rsidR="002D46B0" w:rsidRPr="006A0D1F">
        <w:t xml:space="preserve"> “</w:t>
      </w:r>
      <w:r w:rsidR="002D46B0" w:rsidRPr="006A0D1F">
        <w:rPr>
          <w:i/>
        </w:rPr>
        <w:t>víctimas de instintos salvajes abortos de la naturaleza, monstruos repulsivos de la especie humana”.</w:t>
      </w:r>
      <w:r w:rsidR="00CE1084">
        <w:rPr>
          <w:i/>
        </w:rPr>
        <w:t xml:space="preserve"> </w:t>
      </w:r>
      <w:r w:rsidR="00DF4CEB">
        <w:t xml:space="preserve">La noticia </w:t>
      </w:r>
      <w:r w:rsidR="00065730" w:rsidRPr="006A0D1F">
        <w:t xml:space="preserve">informó </w:t>
      </w:r>
      <w:r w:rsidR="00065730" w:rsidRPr="00511782">
        <w:t xml:space="preserve">que </w:t>
      </w:r>
      <w:r w:rsidR="00D775CC" w:rsidRPr="00511782">
        <w:t>la autopsi</w:t>
      </w:r>
      <w:r w:rsidR="00F25C9D" w:rsidRPr="00511782">
        <w:t>a</w:t>
      </w:r>
      <w:r w:rsidR="00F25C9D" w:rsidRPr="006A0D1F">
        <w:t xml:space="preserve"> reveló que l</w:t>
      </w:r>
      <w:r w:rsidR="00065730" w:rsidRPr="006A0D1F">
        <w:t>a deca</w:t>
      </w:r>
      <w:r w:rsidR="002D46B0" w:rsidRPr="006A0D1F">
        <w:t xml:space="preserve">pitación no </w:t>
      </w:r>
      <w:r w:rsidR="00065730" w:rsidRPr="006A0D1F">
        <w:t>la causó el perro</w:t>
      </w:r>
      <w:r w:rsidR="00D775CC">
        <w:t>,</w:t>
      </w:r>
      <w:r w:rsidR="00065730" w:rsidRPr="006A0D1F">
        <w:t xml:space="preserve"> sino que </w:t>
      </w:r>
      <w:r w:rsidR="002D46B0" w:rsidRPr="006A0D1F">
        <w:t xml:space="preserve">ocurrió </w:t>
      </w:r>
      <w:r w:rsidR="00065730" w:rsidRPr="006A0D1F">
        <w:t>p</w:t>
      </w:r>
      <w:r w:rsidR="002D46B0" w:rsidRPr="006A0D1F">
        <w:t xml:space="preserve">or dos heridas </w:t>
      </w:r>
      <w:r w:rsidR="00900403">
        <w:t>q</w:t>
      </w:r>
      <w:r w:rsidR="002D46B0" w:rsidRPr="006A0D1F">
        <w:t xml:space="preserve">ue dividieron el temporal y parental izquierdo hasta la masa cerebral, </w:t>
      </w:r>
      <w:r w:rsidR="008C38EE">
        <w:t xml:space="preserve">y </w:t>
      </w:r>
      <w:r w:rsidR="002D46B0" w:rsidRPr="006A0D1F">
        <w:t xml:space="preserve">otra </w:t>
      </w:r>
      <w:r w:rsidR="008C38EE">
        <w:t>de</w:t>
      </w:r>
      <w:r w:rsidR="002D46B0" w:rsidRPr="006A0D1F">
        <w:t xml:space="preserve">l temporal izquierdo </w:t>
      </w:r>
      <w:r w:rsidR="00C15C2C">
        <w:t>le arrancó</w:t>
      </w:r>
      <w:r w:rsidR="002D46B0" w:rsidRPr="006A0D1F">
        <w:t xml:space="preserve"> la oreja. </w:t>
      </w:r>
      <w:r w:rsidR="00BD20C8">
        <w:t>El cuerpo</w:t>
      </w:r>
      <w:r w:rsidR="002D46B0" w:rsidRPr="006A0D1F">
        <w:t xml:space="preserve"> </w:t>
      </w:r>
      <w:r w:rsidR="008C38EE">
        <w:t xml:space="preserve">también </w:t>
      </w:r>
      <w:r w:rsidR="002D46B0" w:rsidRPr="006A0D1F">
        <w:t>presentaba una herida en la oreja derecha y otra más en la mandíbula inferior</w:t>
      </w:r>
      <w:r w:rsidR="00065730" w:rsidRPr="006A0D1F">
        <w:t xml:space="preserve">. El </w:t>
      </w:r>
      <w:r w:rsidR="002D46B0" w:rsidRPr="006A0D1F">
        <w:t xml:space="preserve">pecho </w:t>
      </w:r>
      <w:r w:rsidR="00065730" w:rsidRPr="006A0D1F">
        <w:t xml:space="preserve">tenía </w:t>
      </w:r>
      <w:r w:rsidR="002D46B0" w:rsidRPr="006A0D1F">
        <w:t>una penetración que dividía el corazón. El hombro derecho casi se descolgaba del resto del cuerpo</w:t>
      </w:r>
      <w:r w:rsidR="00065730" w:rsidRPr="006A0D1F">
        <w:t xml:space="preserve"> </w:t>
      </w:r>
      <w:r w:rsidR="005661A1" w:rsidRPr="006A0D1F">
        <w:t xml:space="preserve">al igual que la </w:t>
      </w:r>
      <w:r w:rsidR="00065730" w:rsidRPr="006A0D1F">
        <w:t>mano izquierda</w:t>
      </w:r>
      <w:r w:rsidR="00C15C2C">
        <w:t xml:space="preserve">, </w:t>
      </w:r>
      <w:r w:rsidR="00A631D4">
        <w:t>el nivel de violencia ejercido bien se puede resumir en la frase</w:t>
      </w:r>
      <w:r w:rsidR="005661A1" w:rsidRPr="006A0D1F">
        <w:t xml:space="preserve">: </w:t>
      </w:r>
      <w:r w:rsidR="002D46B0" w:rsidRPr="006A0D1F">
        <w:t>“</w:t>
      </w:r>
      <w:r w:rsidR="002D46B0" w:rsidRPr="006A0D1F">
        <w:rPr>
          <w:i/>
        </w:rPr>
        <w:t>ojalá nunca se repitan estas escenas que mucho desdicen de la moralidad y de la cultura”.</w:t>
      </w:r>
    </w:p>
    <w:p w14:paraId="2A512A75" w14:textId="3A0FE748" w:rsidR="0074783F" w:rsidRDefault="00FD2F26" w:rsidP="006A0D1F">
      <w:pPr>
        <w:spacing w:line="480" w:lineRule="auto"/>
        <w:ind w:firstLine="708"/>
        <w:jc w:val="both"/>
        <w:rPr>
          <w:i/>
        </w:rPr>
      </w:pPr>
      <w:r>
        <w:t>El 26 de agosto de 1890,</w:t>
      </w:r>
      <w:r w:rsidR="005661A1" w:rsidRPr="006A0D1F">
        <w:t xml:space="preserve"> </w:t>
      </w:r>
      <w:r w:rsidR="002D46B0" w:rsidRPr="006A0D1F">
        <w:rPr>
          <w:i/>
        </w:rPr>
        <w:t xml:space="preserve">El Eco </w:t>
      </w:r>
      <w:r w:rsidR="002D46B0" w:rsidRPr="006A0D1F">
        <w:t>aseguró que s</w:t>
      </w:r>
      <w:r w:rsidR="00A00514">
        <w:t xml:space="preserve">upo por un telegrama </w:t>
      </w:r>
      <w:r w:rsidR="002D46B0" w:rsidRPr="006A0D1F">
        <w:t>el nombre de la víctima, Silverio García</w:t>
      </w:r>
      <w:r w:rsidR="00C15C2C">
        <w:t xml:space="preserve">, </w:t>
      </w:r>
      <w:r w:rsidR="002D46B0" w:rsidRPr="006A0D1F">
        <w:t>jornalero de</w:t>
      </w:r>
      <w:r w:rsidR="00A631D4">
        <w:t xml:space="preserve"> la hacienda</w:t>
      </w:r>
      <w:r w:rsidR="002D46B0" w:rsidRPr="006A0D1F">
        <w:t xml:space="preserve"> Catmís</w:t>
      </w:r>
      <w:r w:rsidR="005661A1" w:rsidRPr="006A0D1F">
        <w:t xml:space="preserve">. </w:t>
      </w:r>
      <w:r w:rsidR="00B50D51">
        <w:t>La nota destac</w:t>
      </w:r>
      <w:r w:rsidR="00BD20C8">
        <w:t xml:space="preserve">ó </w:t>
      </w:r>
      <w:r w:rsidR="00B50D51">
        <w:t>que</w:t>
      </w:r>
      <w:r w:rsidR="00D0490C" w:rsidRPr="006A0D1F">
        <w:t xml:space="preserve">: </w:t>
      </w:r>
      <w:r w:rsidR="002D46B0" w:rsidRPr="006A0D1F">
        <w:t>“</w:t>
      </w:r>
      <w:r w:rsidR="002D46B0" w:rsidRPr="006A0D1F">
        <w:rPr>
          <w:i/>
        </w:rPr>
        <w:t>la autoridad de Tekax ha sido impotente para descubrir a los autores del crimen tan atroz (...) es lamentabl</w:t>
      </w:r>
      <w:r w:rsidR="00B1326F">
        <w:rPr>
          <w:i/>
        </w:rPr>
        <w:t xml:space="preserve">e la impotencia de la autoridad, </w:t>
      </w:r>
      <w:r w:rsidR="002D46B0" w:rsidRPr="006A0D1F">
        <w:rPr>
          <w:i/>
        </w:rPr>
        <w:t>el hecho haber sido identificado el cadáver del occiso (...) es bastante para llegar a los asesinos”.</w:t>
      </w:r>
    </w:p>
    <w:p w14:paraId="06773429" w14:textId="4D16A924" w:rsidR="00F115D4" w:rsidRPr="006A0D1F" w:rsidRDefault="00F115D4" w:rsidP="00F115D4">
      <w:pPr>
        <w:spacing w:line="480" w:lineRule="auto"/>
        <w:ind w:firstLine="708"/>
        <w:jc w:val="both"/>
        <w:rPr>
          <w:i/>
        </w:rPr>
      </w:pPr>
      <w:r w:rsidRPr="006A0D1F">
        <w:t>La información publicada destacó que, desde el 26 de agosto, se detuvo a los mayordomos</w:t>
      </w:r>
      <w:r w:rsidRPr="006A0D1F">
        <w:rPr>
          <w:rStyle w:val="Refdenotaalpie"/>
        </w:rPr>
        <w:footnoteReference w:id="5"/>
      </w:r>
      <w:r w:rsidRPr="006A0D1F">
        <w:t xml:space="preserve"> Fuentes y Calderón por considerarlos responsables del homicidio de Silverio García</w:t>
      </w:r>
      <w:r>
        <w:t xml:space="preserve">, sin embargo confirmaba también que tras su aprensión fueron liberados prontamente; hecho que causó </w:t>
      </w:r>
      <w:r w:rsidRPr="006A0D1F">
        <w:t>indignación: “</w:t>
      </w:r>
      <w:r w:rsidRPr="006A0D1F">
        <w:rPr>
          <w:i/>
        </w:rPr>
        <w:t>obediencia de la misma autoridad a influencias poderosas o artimañas a mala ley fueron mandados poner en libertad.”</w:t>
      </w:r>
      <w:r w:rsidRPr="006A0D1F">
        <w:t xml:space="preserve"> El tráfico de influencias fue </w:t>
      </w:r>
      <w:r>
        <w:t xml:space="preserve">planteado en las páginas centrales del periódico el 30 de agosto de 1890, al dar </w:t>
      </w:r>
      <w:r w:rsidRPr="006A0D1F">
        <w:t xml:space="preserve">a conocer a los lectores que Calderón y Fuentes </w:t>
      </w:r>
      <w:r>
        <w:t xml:space="preserve">persiguieron al </w:t>
      </w:r>
      <w:r w:rsidRPr="006A0D1F">
        <w:t xml:space="preserve">occiso por orden del personero Araujo, quien </w:t>
      </w:r>
      <w:r>
        <w:t xml:space="preserve">dijo que </w:t>
      </w:r>
      <w:r w:rsidRPr="006A0D1F">
        <w:t xml:space="preserve">Silverio </w:t>
      </w:r>
      <w:r>
        <w:t>le debía dinero a</w:t>
      </w:r>
      <w:r w:rsidRPr="006A0D1F">
        <w:t xml:space="preserve">l dueño de la finca y </w:t>
      </w:r>
      <w:r>
        <w:t xml:space="preserve">que por tanto </w:t>
      </w:r>
      <w:r w:rsidRPr="006A0D1F">
        <w:t>no podía dejarla</w:t>
      </w:r>
      <w:r w:rsidRPr="006A0D1F">
        <w:rPr>
          <w:i/>
        </w:rPr>
        <w:t>.</w:t>
      </w:r>
    </w:p>
    <w:p w14:paraId="3301CBAE" w14:textId="192B6B35" w:rsidR="00FD2F26" w:rsidRDefault="0074783F" w:rsidP="006A0D1F">
      <w:pPr>
        <w:spacing w:line="480" w:lineRule="auto"/>
        <w:ind w:firstLine="708"/>
        <w:jc w:val="both"/>
        <w:rPr>
          <w:i/>
        </w:rPr>
      </w:pPr>
      <w:r w:rsidRPr="006A0D1F">
        <w:t xml:space="preserve">El 30 de agosto de 1890 </w:t>
      </w:r>
      <w:r w:rsidRPr="006A0D1F">
        <w:rPr>
          <w:i/>
        </w:rPr>
        <w:t xml:space="preserve">El Eco </w:t>
      </w:r>
      <w:r w:rsidRPr="006A0D1F">
        <w:t xml:space="preserve">informó a sus lectores que no se sabía nada de los asesinos del jornalero de Catmís, y </w:t>
      </w:r>
      <w:r w:rsidR="00415089">
        <w:t>exigieron</w:t>
      </w:r>
      <w:r w:rsidRPr="006A0D1F">
        <w:t>:</w:t>
      </w:r>
      <w:r w:rsidR="002D46B0" w:rsidRPr="006A0D1F">
        <w:t xml:space="preserve"> “</w:t>
      </w:r>
      <w:r w:rsidR="002D46B0" w:rsidRPr="006A0D1F">
        <w:rPr>
          <w:i/>
        </w:rPr>
        <w:t>al Sr. Juez de 1er instancia de Tekax no omita diligencia alguna para el esclarecimiento de los culpables sin detenerse en consideraciones de ningún género</w:t>
      </w:r>
      <w:r w:rsidRPr="006A0D1F">
        <w:rPr>
          <w:i/>
        </w:rPr>
        <w:t>.</w:t>
      </w:r>
      <w:r w:rsidR="002D46B0" w:rsidRPr="006A0D1F">
        <w:rPr>
          <w:i/>
        </w:rPr>
        <w:t>”</w:t>
      </w:r>
    </w:p>
    <w:p w14:paraId="2FFAADBD" w14:textId="0FB7F953" w:rsidR="00531F18" w:rsidRDefault="00531F18" w:rsidP="006A0D1F">
      <w:pPr>
        <w:spacing w:line="480" w:lineRule="auto"/>
        <w:ind w:firstLine="708"/>
        <w:jc w:val="both"/>
        <w:rPr>
          <w:i/>
        </w:rPr>
      </w:pPr>
      <w:r w:rsidRPr="006A0D1F">
        <w:t>L</w:t>
      </w:r>
      <w:r>
        <w:t xml:space="preserve">os hechos subieron su tono cuando </w:t>
      </w:r>
      <w:r w:rsidR="009932FE">
        <w:rPr>
          <w:i/>
        </w:rPr>
        <w:t xml:space="preserve">El Eco </w:t>
      </w:r>
      <w:r w:rsidRPr="006A0D1F">
        <w:t xml:space="preserve">aseveró </w:t>
      </w:r>
      <w:r>
        <w:t xml:space="preserve">el 02 de septiembre de 1890 </w:t>
      </w:r>
      <w:r w:rsidRPr="006A0D1F">
        <w:t>que: “</w:t>
      </w:r>
      <w:r w:rsidRPr="006A0D1F">
        <w:rPr>
          <w:i/>
        </w:rPr>
        <w:t>envió un reporte</w:t>
      </w:r>
      <w:r w:rsidR="009932FE">
        <w:rPr>
          <w:i/>
        </w:rPr>
        <w:t>ro</w:t>
      </w:r>
      <w:r w:rsidRPr="006A0D1F">
        <w:rPr>
          <w:i/>
        </w:rPr>
        <w:t xml:space="preserve"> a los pueblos del sur</w:t>
      </w:r>
      <w:r>
        <w:rPr>
          <w:i/>
        </w:rPr>
        <w:t>,</w:t>
      </w:r>
      <w:r w:rsidRPr="006A0D1F">
        <w:rPr>
          <w:i/>
        </w:rPr>
        <w:t xml:space="preserve"> por los que fue paseada la víctima</w:t>
      </w:r>
      <w:r>
        <w:rPr>
          <w:i/>
        </w:rPr>
        <w:t>,</w:t>
      </w:r>
      <w:r w:rsidRPr="006A0D1F">
        <w:rPr>
          <w:i/>
        </w:rPr>
        <w:t xml:space="preserve"> sólo con el objeto de recoger datos verídicos del público y de esta manera contribuir al esclarecimiento y castigo de los verdugos</w:t>
      </w:r>
      <w:r>
        <w:rPr>
          <w:i/>
        </w:rPr>
        <w:t>.</w:t>
      </w:r>
      <w:r w:rsidRPr="006A0D1F">
        <w:rPr>
          <w:i/>
        </w:rPr>
        <w:t>”</w:t>
      </w:r>
      <w:r>
        <w:rPr>
          <w:i/>
        </w:rPr>
        <w:t xml:space="preserve"> </w:t>
      </w:r>
      <w:r>
        <w:t xml:space="preserve">Podría interpretarse que </w:t>
      </w:r>
      <w:r w:rsidRPr="006A0D1F">
        <w:t>la autoridad del lugar no hacía lo necesario por esclarecer el crimen</w:t>
      </w:r>
      <w:r w:rsidR="00A631D4">
        <w:t>,</w:t>
      </w:r>
      <w:r>
        <w:t xml:space="preserve"> ya que la investigación que emprendió era insuficiente.</w:t>
      </w:r>
      <w:r w:rsidRPr="006A0D1F">
        <w:rPr>
          <w:rStyle w:val="Refdenotaalpie"/>
        </w:rPr>
        <w:footnoteReference w:id="6"/>
      </w:r>
    </w:p>
    <w:p w14:paraId="72158507" w14:textId="2B2F3BE0" w:rsidR="002D46B0" w:rsidRPr="006A0D1F" w:rsidRDefault="0082074E" w:rsidP="006A0D1F">
      <w:pPr>
        <w:spacing w:line="480" w:lineRule="auto"/>
        <w:ind w:firstLine="708"/>
        <w:jc w:val="both"/>
      </w:pPr>
      <w:r w:rsidRPr="006A0D1F">
        <w:t>La prensa presionaba a las autoridades para actuar</w:t>
      </w:r>
      <w:r w:rsidR="00E92A47">
        <w:t xml:space="preserve">. </w:t>
      </w:r>
      <w:r w:rsidR="001C5AA5">
        <w:t>El 02 de septiembre de 1890, se dio a conocer que e</w:t>
      </w:r>
      <w:r w:rsidR="00E92A47">
        <w:t>l gobernador de Yucatá</w:t>
      </w:r>
      <w:r w:rsidR="00210CCF">
        <w:t>n, Coronel Daniel Traconis,</w:t>
      </w:r>
      <w:r w:rsidR="00E92A47">
        <w:t xml:space="preserve"> </w:t>
      </w:r>
      <w:r w:rsidRPr="006A0D1F">
        <w:t xml:space="preserve">envió una carta </w:t>
      </w:r>
      <w:r w:rsidR="00415089">
        <w:t xml:space="preserve">al periódico </w:t>
      </w:r>
      <w:r w:rsidR="00FA09A3">
        <w:t>diciendo</w:t>
      </w:r>
      <w:r w:rsidRPr="006A0D1F">
        <w:t>: “e</w:t>
      </w:r>
      <w:r w:rsidR="002D46B0" w:rsidRPr="006A0D1F">
        <w:rPr>
          <w:i/>
        </w:rPr>
        <w:t>xiste la autoridad en Tekax que procede en la averiguación del asesinato pudritorio. Al mismo tiempo se ha dirigido al jefe político de Tekax ordenándole preste a la autoridad judicial todo el apoyo para sus investigaciones”</w:t>
      </w:r>
      <w:r w:rsidR="00FA09A3">
        <w:rPr>
          <w:i/>
        </w:rPr>
        <w:t xml:space="preserve">, </w:t>
      </w:r>
      <w:r w:rsidR="00FA09A3">
        <w:t xml:space="preserve">y agregó que a las autoridades de Tekax </w:t>
      </w:r>
      <w:r w:rsidR="001C5AA5">
        <w:t>tenían que reportar</w:t>
      </w:r>
      <w:r w:rsidR="00FA09A3">
        <w:t xml:space="preserve"> semanal</w:t>
      </w:r>
      <w:r w:rsidR="001C5AA5">
        <w:t>mente</w:t>
      </w:r>
      <w:r w:rsidR="00FA09A3">
        <w:t xml:space="preserve"> el estado de las investigaciones</w:t>
      </w:r>
      <w:r w:rsidR="002D46B0" w:rsidRPr="006A0D1F">
        <w:t>.</w:t>
      </w:r>
      <w:r w:rsidR="00A631D4" w:rsidRPr="00A631D4">
        <w:t xml:space="preserve"> </w:t>
      </w:r>
      <w:r w:rsidR="00A631D4" w:rsidRPr="00E92A47">
        <w:t xml:space="preserve">Al parecer, la presión que ejerció </w:t>
      </w:r>
      <w:r w:rsidR="00A631D4" w:rsidRPr="00E92A47">
        <w:rPr>
          <w:i/>
        </w:rPr>
        <w:t xml:space="preserve">El </w:t>
      </w:r>
      <w:r w:rsidR="00A631D4">
        <w:rPr>
          <w:i/>
        </w:rPr>
        <w:t xml:space="preserve">Eco </w:t>
      </w:r>
      <w:r w:rsidR="00A631D4" w:rsidRPr="006A0D1F">
        <w:t>impact</w:t>
      </w:r>
      <w:r w:rsidR="00A631D4">
        <w:t>ó</w:t>
      </w:r>
      <w:r w:rsidR="00A631D4" w:rsidRPr="006A0D1F">
        <w:t xml:space="preserve"> sobre la investigación</w:t>
      </w:r>
      <w:r w:rsidR="00A631D4">
        <w:t>.</w:t>
      </w:r>
    </w:p>
    <w:p w14:paraId="34D1E957" w14:textId="22F5D7C9" w:rsidR="0027277F" w:rsidRDefault="0027277F" w:rsidP="006A0D1F">
      <w:pPr>
        <w:spacing w:line="480" w:lineRule="auto"/>
        <w:ind w:firstLine="708"/>
        <w:jc w:val="both"/>
        <w:rPr>
          <w:i/>
        </w:rPr>
      </w:pPr>
      <w:r>
        <w:t>La persecución de Silverio García se dio cuando l</w:t>
      </w:r>
      <w:r w:rsidR="00D619D5" w:rsidRPr="006A0D1F">
        <w:t xml:space="preserve">os mayordomos Fuentes y Calderón </w:t>
      </w:r>
      <w:r>
        <w:t xml:space="preserve">lo </w:t>
      </w:r>
      <w:r w:rsidR="00D619D5" w:rsidRPr="006A0D1F">
        <w:t xml:space="preserve">siguieron hasta </w:t>
      </w:r>
      <w:r w:rsidR="002D46B0" w:rsidRPr="006A0D1F">
        <w:t xml:space="preserve">Tenabo, de allí a Penkuyut y por último a Tekax. </w:t>
      </w:r>
      <w:r w:rsidR="00D619D5" w:rsidRPr="006A0D1F">
        <w:rPr>
          <w:i/>
        </w:rPr>
        <w:t xml:space="preserve">El Eco </w:t>
      </w:r>
      <w:r w:rsidR="00D619D5" w:rsidRPr="006A0D1F">
        <w:t>indicó</w:t>
      </w:r>
      <w:r w:rsidR="001C5AA5">
        <w:t xml:space="preserve"> el</w:t>
      </w:r>
      <w:r w:rsidR="00A631D4">
        <w:t xml:space="preserve"> </w:t>
      </w:r>
      <w:r w:rsidR="001C5AA5">
        <w:t>2 de septiembre de 1890, que</w:t>
      </w:r>
      <w:r w:rsidR="00D619D5" w:rsidRPr="006A0D1F">
        <w:t xml:space="preserve"> Fuentes, </w:t>
      </w:r>
      <w:r w:rsidR="00A04727" w:rsidRPr="006A0D1F">
        <w:t>Calderón</w:t>
      </w:r>
      <w:r w:rsidR="00D619D5" w:rsidRPr="006A0D1F">
        <w:t xml:space="preserve"> y Araujo eran </w:t>
      </w:r>
      <w:r w:rsidR="00B80D6D">
        <w:t xml:space="preserve">los </w:t>
      </w:r>
      <w:r w:rsidR="00D619D5" w:rsidRPr="006A0D1F">
        <w:t>autores</w:t>
      </w:r>
      <w:r w:rsidR="00B80D6D">
        <w:t xml:space="preserve">, y </w:t>
      </w:r>
      <w:r>
        <w:t xml:space="preserve">además </w:t>
      </w:r>
      <w:r w:rsidR="00B80D6D">
        <w:t xml:space="preserve">aseveró </w:t>
      </w:r>
      <w:r>
        <w:t xml:space="preserve">que </w:t>
      </w:r>
      <w:r w:rsidR="00D62953" w:rsidRPr="006A0D1F">
        <w:t>“</w:t>
      </w:r>
      <w:r w:rsidR="002D46B0" w:rsidRPr="006A0D1F">
        <w:rPr>
          <w:i/>
        </w:rPr>
        <w:t>quien sabe cu</w:t>
      </w:r>
      <w:r w:rsidR="00D62953" w:rsidRPr="006A0D1F">
        <w:rPr>
          <w:i/>
        </w:rPr>
        <w:t>á</w:t>
      </w:r>
      <w:r w:rsidR="002D46B0" w:rsidRPr="006A0D1F">
        <w:rPr>
          <w:i/>
        </w:rPr>
        <w:t xml:space="preserve">ntos otros delitos se han cometido con </w:t>
      </w:r>
      <w:r w:rsidR="00D62953" w:rsidRPr="006A0D1F">
        <w:rPr>
          <w:i/>
        </w:rPr>
        <w:t xml:space="preserve">los </w:t>
      </w:r>
      <w:r w:rsidR="002D46B0" w:rsidRPr="006A0D1F">
        <w:rPr>
          <w:i/>
        </w:rPr>
        <w:t>sirvientes del sur”.</w:t>
      </w:r>
      <w:r>
        <w:rPr>
          <w:i/>
        </w:rPr>
        <w:t xml:space="preserve"> </w:t>
      </w:r>
    </w:p>
    <w:p w14:paraId="73F1855F" w14:textId="34BCC338" w:rsidR="002D46B0" w:rsidRPr="006A0D1F" w:rsidRDefault="00730340" w:rsidP="006A0D1F">
      <w:pPr>
        <w:spacing w:line="480" w:lineRule="auto"/>
        <w:ind w:firstLine="708"/>
        <w:jc w:val="both"/>
      </w:pPr>
      <w:r w:rsidRPr="00A6217F">
        <w:t>A lo anterior se sum</w:t>
      </w:r>
      <w:r w:rsidR="00A6217F">
        <w:t>ó</w:t>
      </w:r>
      <w:r w:rsidRPr="006A0D1F">
        <w:t xml:space="preserve"> la carta que Calderón envió al </w:t>
      </w:r>
      <w:r w:rsidR="002D46B0" w:rsidRPr="006A0D1F">
        <w:t xml:space="preserve">Editor de </w:t>
      </w:r>
      <w:r w:rsidR="002D46B0" w:rsidRPr="006A0D1F">
        <w:rPr>
          <w:i/>
        </w:rPr>
        <w:t>El Eco</w:t>
      </w:r>
      <w:r w:rsidR="001C5AA5">
        <w:rPr>
          <w:i/>
        </w:rPr>
        <w:t xml:space="preserve"> </w:t>
      </w:r>
      <w:r w:rsidR="001C5AA5">
        <w:t>el 6 de septiembre de 1890</w:t>
      </w:r>
      <w:r w:rsidR="002D46B0" w:rsidRPr="006A0D1F">
        <w:t>. E</w:t>
      </w:r>
      <w:r w:rsidR="003C5CEE" w:rsidRPr="006A0D1F">
        <w:t xml:space="preserve">ste documento afirmaba que </w:t>
      </w:r>
      <w:r w:rsidRPr="006A0D1F">
        <w:t xml:space="preserve">él </w:t>
      </w:r>
      <w:r w:rsidR="003C5CEE" w:rsidRPr="006A0D1F">
        <w:t xml:space="preserve">permaneció incomunicado mientras estuvo preso, desde </w:t>
      </w:r>
      <w:r w:rsidR="002D46B0" w:rsidRPr="006A0D1F">
        <w:t>el sábado a las seis de la tarde hasta las dos del martes en que quedó libre</w:t>
      </w:r>
      <w:r w:rsidR="003C5CEE" w:rsidRPr="006A0D1F">
        <w:t xml:space="preserve">. Calderón </w:t>
      </w:r>
      <w:r w:rsidRPr="006A0D1F">
        <w:t>destac</w:t>
      </w:r>
      <w:r w:rsidR="003C5CEE" w:rsidRPr="006A0D1F">
        <w:t xml:space="preserve">ó, delante del alcalde del pueblo, que </w:t>
      </w:r>
      <w:r w:rsidR="002D46B0" w:rsidRPr="006A0D1F">
        <w:t>era sospechoso de</w:t>
      </w:r>
      <w:r w:rsidR="003C5CEE" w:rsidRPr="006A0D1F">
        <w:t>l</w:t>
      </w:r>
      <w:r w:rsidR="002D46B0" w:rsidRPr="006A0D1F">
        <w:t xml:space="preserve"> homicidio</w:t>
      </w:r>
      <w:r w:rsidR="003C5CEE" w:rsidRPr="006A0D1F">
        <w:t xml:space="preserve"> de Silverio García y que estaba allí para dar cuenta </w:t>
      </w:r>
      <w:r w:rsidR="002D46B0" w:rsidRPr="006A0D1F">
        <w:t xml:space="preserve">de sus actividades, en </w:t>
      </w:r>
      <w:r w:rsidRPr="006A0D1F">
        <w:t>su declaración decía qu</w:t>
      </w:r>
      <w:r w:rsidR="003C5CEE" w:rsidRPr="006A0D1F">
        <w:t xml:space="preserve">e </w:t>
      </w:r>
      <w:r w:rsidR="002D46B0" w:rsidRPr="006A0D1F">
        <w:t xml:space="preserve">Fuentes </w:t>
      </w:r>
      <w:r w:rsidR="003C5CEE" w:rsidRPr="006A0D1F">
        <w:t xml:space="preserve">lo involucró en el asunto y que no era empleado del dueño de la </w:t>
      </w:r>
      <w:r w:rsidR="00A631D4">
        <w:t>hacienda</w:t>
      </w:r>
      <w:r w:rsidR="003C5CEE" w:rsidRPr="006A0D1F">
        <w:t xml:space="preserve">, </w:t>
      </w:r>
      <w:r w:rsidR="002D46B0" w:rsidRPr="006A0D1F">
        <w:t>Licenciado Manuel Cirerol y Canto</w:t>
      </w:r>
      <w:r w:rsidR="00A6217F">
        <w:t>,</w:t>
      </w:r>
      <w:r w:rsidR="00A6217F" w:rsidRPr="00A6217F">
        <w:rPr>
          <w:rStyle w:val="Refdenotaalpie"/>
        </w:rPr>
        <w:t xml:space="preserve"> </w:t>
      </w:r>
      <w:r w:rsidR="00A6217F" w:rsidRPr="006A0D1F">
        <w:rPr>
          <w:rStyle w:val="Refdenotaalpie"/>
        </w:rPr>
        <w:footnoteReference w:id="7"/>
      </w:r>
      <w:r w:rsidR="00A6217F">
        <w:t xml:space="preserve"> y que tampoco conocía a Silveiro García</w:t>
      </w:r>
      <w:r w:rsidR="002D46B0" w:rsidRPr="006A0D1F">
        <w:t>.</w:t>
      </w:r>
    </w:p>
    <w:p w14:paraId="0F39CC11" w14:textId="79B3B835" w:rsidR="00C66D7E" w:rsidRDefault="002D46B0">
      <w:pPr>
        <w:spacing w:line="480" w:lineRule="auto"/>
        <w:ind w:firstLine="708"/>
        <w:jc w:val="both"/>
      </w:pPr>
      <w:r w:rsidRPr="00B80D6D">
        <w:rPr>
          <w:i/>
        </w:rPr>
        <w:t xml:space="preserve">El Eco </w:t>
      </w:r>
      <w:r w:rsidR="0059238B" w:rsidRPr="00B80D6D">
        <w:t xml:space="preserve">destacó que </w:t>
      </w:r>
      <w:r w:rsidRPr="00B80D6D">
        <w:t>personas del pueblo de Teabo dijeron</w:t>
      </w:r>
      <w:r w:rsidR="0059238B" w:rsidRPr="00B80D6D">
        <w:t xml:space="preserve"> que</w:t>
      </w:r>
      <w:r w:rsidRPr="00B80D6D">
        <w:t>: “</w:t>
      </w:r>
      <w:r w:rsidRPr="00B80D6D">
        <w:rPr>
          <w:i/>
        </w:rPr>
        <w:t xml:space="preserve">se pidió </w:t>
      </w:r>
      <w:r w:rsidR="0059238B" w:rsidRPr="00B80D6D">
        <w:rPr>
          <w:i/>
        </w:rPr>
        <w:t xml:space="preserve">el </w:t>
      </w:r>
      <w:r w:rsidRPr="00B80D6D">
        <w:rPr>
          <w:i/>
        </w:rPr>
        <w:t xml:space="preserve">auxilio de la fuerza armada para la persecución de Silverio García cuando Calderón lo solicitará, uno de tantos mayordomos de las fincas de campo del Sr. </w:t>
      </w:r>
      <w:r w:rsidR="008A3313">
        <w:rPr>
          <w:i/>
        </w:rPr>
        <w:t xml:space="preserve">Cirerol </w:t>
      </w:r>
      <w:r w:rsidRPr="00B80D6D">
        <w:rPr>
          <w:i/>
        </w:rPr>
        <w:t>que ese cateó por tres días consecutivos las casas de la esposa, madre y abuela del muerto y todo fue inútil puesto que García se encontraba fuera de Teabo</w:t>
      </w:r>
      <w:r w:rsidR="0059238B" w:rsidRPr="00B80D6D">
        <w:rPr>
          <w:i/>
        </w:rPr>
        <w:t>.</w:t>
      </w:r>
      <w:r w:rsidRPr="00B80D6D">
        <w:rPr>
          <w:i/>
        </w:rPr>
        <w:t>”</w:t>
      </w:r>
      <w:r w:rsidRPr="00B80D6D">
        <w:t xml:space="preserve"> </w:t>
      </w:r>
      <w:r w:rsidR="00D35A40">
        <w:t>Calderón persiguió a García porque al huir incumplía con la de</w:t>
      </w:r>
      <w:r w:rsidR="00D35A40" w:rsidRPr="006A0D1F">
        <w:t>uda</w:t>
      </w:r>
      <w:r w:rsidR="00D35A40">
        <w:t xml:space="preserve"> que tenía con </w:t>
      </w:r>
      <w:r w:rsidR="00D35A40" w:rsidRPr="006A0D1F">
        <w:t xml:space="preserve">la hacienda, por tanto, este tipo de persecuciones </w:t>
      </w:r>
      <w:r w:rsidR="00D35A40">
        <w:t>eran justificables.</w:t>
      </w:r>
      <w:r w:rsidR="0059238B" w:rsidRPr="006A0D1F">
        <w:t xml:space="preserve"> </w:t>
      </w:r>
    </w:p>
    <w:p w14:paraId="133DFD63" w14:textId="0848382B" w:rsidR="002D46B0" w:rsidRDefault="00C66D7E">
      <w:pPr>
        <w:spacing w:line="480" w:lineRule="auto"/>
        <w:ind w:firstLine="708"/>
        <w:jc w:val="both"/>
        <w:rPr>
          <w:i/>
        </w:rPr>
      </w:pPr>
      <w:r>
        <w:t xml:space="preserve">En nota publicada por </w:t>
      </w:r>
      <w:r w:rsidRPr="00531F18">
        <w:rPr>
          <w:i/>
        </w:rPr>
        <w:t>El eco</w:t>
      </w:r>
      <w:r>
        <w:t xml:space="preserve"> el 6 de septiembre de 1890,</w:t>
      </w:r>
      <w:r w:rsidR="00E413A7" w:rsidRPr="006A0D1F">
        <w:t xml:space="preserve"> </w:t>
      </w:r>
      <w:r w:rsidR="00E36E46">
        <w:t>se relató</w:t>
      </w:r>
      <w:r>
        <w:t xml:space="preserve"> sobre las reacciones ante la muert</w:t>
      </w:r>
      <w:r w:rsidR="00E36E46">
        <w:t xml:space="preserve">e del jornalero por parte de su </w:t>
      </w:r>
      <w:r>
        <w:t xml:space="preserve">familia. </w:t>
      </w:r>
      <w:r w:rsidR="00E36E46">
        <w:t>L</w:t>
      </w:r>
      <w:r w:rsidR="00A6217F">
        <w:t>a abuela de García</w:t>
      </w:r>
      <w:r w:rsidR="00E905F6">
        <w:t>, era muy pobre y</w:t>
      </w:r>
      <w:r w:rsidR="002D46B0" w:rsidRPr="006A0D1F">
        <w:t xml:space="preserve"> “</w:t>
      </w:r>
      <w:r w:rsidR="002D46B0" w:rsidRPr="006A0D1F">
        <w:rPr>
          <w:i/>
        </w:rPr>
        <w:t>tenía los ojos rojos por el desconsuelo y los pá</w:t>
      </w:r>
      <w:r w:rsidR="00A6217F">
        <w:rPr>
          <w:i/>
        </w:rPr>
        <w:t>rpados hinchados por el llanto</w:t>
      </w:r>
      <w:r w:rsidR="00E36E46">
        <w:rPr>
          <w:i/>
        </w:rPr>
        <w:t>,</w:t>
      </w:r>
      <w:r w:rsidR="00A6217F">
        <w:rPr>
          <w:i/>
        </w:rPr>
        <w:t xml:space="preserve"> </w:t>
      </w:r>
      <w:r w:rsidR="002D46B0" w:rsidRPr="006A0D1F">
        <w:rPr>
          <w:i/>
        </w:rPr>
        <w:t>vivía en compañía de su hija</w:t>
      </w:r>
      <w:r w:rsidR="00E905F6">
        <w:rPr>
          <w:i/>
        </w:rPr>
        <w:t xml:space="preserve">, </w:t>
      </w:r>
      <w:r w:rsidR="002D46B0" w:rsidRPr="006A0D1F">
        <w:rPr>
          <w:i/>
        </w:rPr>
        <w:t>nieta</w:t>
      </w:r>
      <w:r w:rsidR="00E905F6">
        <w:rPr>
          <w:i/>
        </w:rPr>
        <w:t xml:space="preserve">, la </w:t>
      </w:r>
      <w:r w:rsidR="002D46B0" w:rsidRPr="006A0D1F">
        <w:rPr>
          <w:i/>
        </w:rPr>
        <w:t xml:space="preserve">hermana de Silverio, </w:t>
      </w:r>
      <w:r w:rsidR="00E905F6">
        <w:rPr>
          <w:i/>
        </w:rPr>
        <w:t xml:space="preserve">y </w:t>
      </w:r>
      <w:r w:rsidR="002D46B0" w:rsidRPr="006A0D1F">
        <w:rPr>
          <w:i/>
        </w:rPr>
        <w:t xml:space="preserve">Eusebía Naal </w:t>
      </w:r>
      <w:r w:rsidR="00E905F6">
        <w:t>(la esposa del difunto)</w:t>
      </w:r>
      <w:r w:rsidR="008A3313">
        <w:t xml:space="preserve">, </w:t>
      </w:r>
      <w:r w:rsidR="008A3313" w:rsidRPr="00727904">
        <w:rPr>
          <w:i/>
        </w:rPr>
        <w:t>todas llorando</w:t>
      </w:r>
      <w:r w:rsidR="002D46B0" w:rsidRPr="006A0D1F">
        <w:rPr>
          <w:i/>
        </w:rPr>
        <w:t>”.</w:t>
      </w:r>
    </w:p>
    <w:p w14:paraId="48CE0C6A" w14:textId="045365F5" w:rsidR="002D46B0" w:rsidRPr="006A0D1F" w:rsidRDefault="00531F18">
      <w:pPr>
        <w:spacing w:line="480" w:lineRule="auto"/>
        <w:ind w:firstLine="708"/>
        <w:jc w:val="both"/>
        <w:rPr>
          <w:i/>
        </w:rPr>
      </w:pPr>
      <w:r w:rsidRPr="006A0D1F">
        <w:t>El corresponsal tra</w:t>
      </w:r>
      <w:r>
        <w:t>n</w:t>
      </w:r>
      <w:r w:rsidRPr="006A0D1F">
        <w:t xml:space="preserve">smitió a los lectores una </w:t>
      </w:r>
      <w:r w:rsidR="00A631D4">
        <w:t>descripción casi</w:t>
      </w:r>
      <w:r w:rsidR="00A631D4" w:rsidRPr="006A0D1F">
        <w:t xml:space="preserve"> </w:t>
      </w:r>
      <w:r w:rsidRPr="006A0D1F">
        <w:t>literaria de la esposa del occiso</w:t>
      </w:r>
      <w:r>
        <w:t>: “Eusebia</w:t>
      </w:r>
      <w:r w:rsidRPr="00CE1084">
        <w:rPr>
          <w:i/>
        </w:rPr>
        <w:t xml:space="preserve"> Naal</w:t>
      </w:r>
      <w:r>
        <w:t xml:space="preserve">, </w:t>
      </w:r>
      <w:r w:rsidRPr="006A0D1F">
        <w:rPr>
          <w:i/>
        </w:rPr>
        <w:t xml:space="preserve">es una joven de 24 años de edad, de constitución fuerte, hermosa y simpática de fácil palabra y con una cabellera más que hermosa espléndida”. </w:t>
      </w:r>
      <w:r>
        <w:t xml:space="preserve">Ella vivía con su suegra </w:t>
      </w:r>
      <w:r w:rsidRPr="006A0D1F">
        <w:t>María de la Cruz García</w:t>
      </w:r>
      <w:r>
        <w:t xml:space="preserve"> en compañía de sus </w:t>
      </w:r>
      <w:r w:rsidRPr="006A0D1F">
        <w:t xml:space="preserve">dos hijos gemelos Pedro y Sofía de dos años de edad. </w:t>
      </w:r>
      <w:r>
        <w:t xml:space="preserve"> Ella</w:t>
      </w:r>
      <w:r w:rsidRPr="006A0D1F">
        <w:t xml:space="preserve"> contó al corresponsal que Silverio tenía una relación laboral con el Señor Cirerol, quien compró la </w:t>
      </w:r>
      <w:r w:rsidR="003043EE">
        <w:t>hacienda</w:t>
      </w:r>
      <w:r w:rsidR="003043EE" w:rsidRPr="006A0D1F">
        <w:t xml:space="preserve"> </w:t>
      </w:r>
      <w:r w:rsidRPr="006A0D1F">
        <w:t>de Catmis a Sixto Hercila entre abril y mayo de 1890</w:t>
      </w:r>
      <w:r>
        <w:t xml:space="preserve"> y</w:t>
      </w:r>
      <w:r w:rsidRPr="006A0D1F">
        <w:t xml:space="preserve"> aseveró que la venta inclu</w:t>
      </w:r>
      <w:r>
        <w:t>yó</w:t>
      </w:r>
      <w:r w:rsidRPr="006A0D1F">
        <w:t xml:space="preserve"> a los empleados: “</w:t>
      </w:r>
      <w:r w:rsidRPr="006A0D1F">
        <w:rPr>
          <w:i/>
        </w:rPr>
        <w:t>cambiamos de amo</w:t>
      </w:r>
      <w:r>
        <w:rPr>
          <w:i/>
        </w:rPr>
        <w:t xml:space="preserve">, pero </w:t>
      </w:r>
      <w:r w:rsidRPr="0077047A">
        <w:rPr>
          <w:i/>
        </w:rPr>
        <w:t>Silverio quería seguir trabajando con D. Sixto Hercila</w:t>
      </w:r>
      <w:r w:rsidRPr="00C66D7E">
        <w:t xml:space="preserve"> </w:t>
      </w:r>
      <w:r>
        <w:t>y e</w:t>
      </w:r>
      <w:r w:rsidRPr="0077047A">
        <w:rPr>
          <w:i/>
        </w:rPr>
        <w:t>ste le dijo que debía de servir a su nuevo amo.</w:t>
      </w:r>
      <w:r w:rsidRPr="00C66D7E">
        <w:rPr>
          <w:i/>
        </w:rPr>
        <w:t>”</w:t>
      </w:r>
      <w:r>
        <w:t xml:space="preserve"> Pero </w:t>
      </w:r>
      <w:r w:rsidR="005D080D" w:rsidRPr="006A0D1F">
        <w:t xml:space="preserve">Silverio pidió licencia para salir a comprar jabón y sal. El permiso le permitió huir </w:t>
      </w:r>
      <w:r w:rsidR="00C4101B">
        <w:t xml:space="preserve">para esconderse </w:t>
      </w:r>
      <w:r w:rsidR="005D080D" w:rsidRPr="006A0D1F">
        <w:t xml:space="preserve">en casa de su antiguo amo en Tekax. </w:t>
      </w:r>
      <w:r w:rsidR="002D46B0" w:rsidRPr="006A0D1F">
        <w:t>Los permisos los daba el personero Araujo</w:t>
      </w:r>
      <w:r w:rsidR="00727904">
        <w:t>:</w:t>
      </w:r>
      <w:r w:rsidR="002D46B0" w:rsidRPr="006A0D1F">
        <w:rPr>
          <w:i/>
        </w:rPr>
        <w:t xml:space="preserve"> “encargado de los ranchos y de la casa del Sr. Cirerol”</w:t>
      </w:r>
      <w:r w:rsidR="002913A2" w:rsidRPr="006A0D1F">
        <w:rPr>
          <w:i/>
        </w:rPr>
        <w:t>.</w:t>
      </w:r>
      <w:r w:rsidR="002D46B0" w:rsidRPr="006A0D1F">
        <w:t xml:space="preserve"> </w:t>
      </w:r>
      <w:r w:rsidR="006B1E81">
        <w:t>Eusebia Naal indicó que Calderón</w:t>
      </w:r>
      <w:r w:rsidR="002D46B0" w:rsidRPr="006A0D1F">
        <w:t>: “</w:t>
      </w:r>
      <w:r w:rsidR="002D46B0" w:rsidRPr="006A0D1F">
        <w:rPr>
          <w:i/>
        </w:rPr>
        <w:t>empezó la persecución de mi esposo. Vinieron a catear esta casa por el mayordomo al frente de una tropa armada que mandaba un tal “español”, como si fuéramos ladrones otra vez la catearon con fuerza armada mandaba creo uno de Tixmenac que es D. Manuel Sosa. Catearon la milpa de mi madre y de mi hermana (</w:t>
      </w:r>
      <w:r w:rsidR="002D46B0" w:rsidRPr="006A0D1F">
        <w:t>están</w:t>
      </w:r>
      <w:r w:rsidR="002D46B0" w:rsidRPr="006A0D1F">
        <w:rPr>
          <w:i/>
        </w:rPr>
        <w:t>) situadas en un terreno (...). Ese allanamiento lo verificó Timoteo Paredes y soldados de Teabo (…) ya teníamos miedo porque venían con fusiles”.</w:t>
      </w:r>
      <w:r w:rsidR="008C5FE6" w:rsidRPr="008C5FE6">
        <w:t xml:space="preserve"> </w:t>
      </w:r>
      <w:r w:rsidR="008C5FE6" w:rsidRPr="006B1E81">
        <w:rPr>
          <w:i/>
        </w:rPr>
        <w:t xml:space="preserve">El Eco </w:t>
      </w:r>
      <w:r w:rsidR="00727904">
        <w:t xml:space="preserve">evidenció </w:t>
      </w:r>
      <w:r w:rsidR="006B1E81">
        <w:t xml:space="preserve">cómo </w:t>
      </w:r>
      <w:r w:rsidR="008C5FE6">
        <w:t xml:space="preserve">las </w:t>
      </w:r>
      <w:r w:rsidR="008C5FE6" w:rsidRPr="006A0D1F">
        <w:t>autoridades</w:t>
      </w:r>
      <w:r w:rsidR="008C5FE6">
        <w:t xml:space="preserve"> y hombres armados</w:t>
      </w:r>
      <w:r w:rsidR="008C5FE6" w:rsidRPr="006A0D1F">
        <w:t xml:space="preserve"> servían a </w:t>
      </w:r>
      <w:r w:rsidR="00C4101B">
        <w:t xml:space="preserve">los intereses de </w:t>
      </w:r>
      <w:r w:rsidR="008C5FE6" w:rsidRPr="006A0D1F">
        <w:t xml:space="preserve">los </w:t>
      </w:r>
      <w:r w:rsidR="00C4101B">
        <w:t xml:space="preserve">hacendados. </w:t>
      </w:r>
    </w:p>
    <w:p w14:paraId="60B93029" w14:textId="77777777" w:rsidR="00727904" w:rsidRDefault="002913A2" w:rsidP="00D16650">
      <w:pPr>
        <w:spacing w:line="480" w:lineRule="auto"/>
        <w:ind w:firstLine="708"/>
        <w:jc w:val="both"/>
        <w:rPr>
          <w:i/>
        </w:rPr>
      </w:pPr>
      <w:r w:rsidRPr="006A0D1F">
        <w:t xml:space="preserve">La esposa de Silverio relató cómo se enteró de la muerte de su esposo: </w:t>
      </w:r>
      <w:r w:rsidR="002D46B0" w:rsidRPr="006A0D1F">
        <w:t>“</w:t>
      </w:r>
      <w:r w:rsidR="002D46B0" w:rsidRPr="006A0D1F">
        <w:rPr>
          <w:i/>
        </w:rPr>
        <w:t>Procedentes de Tekax trajeron a Teabo la noticia de la muerte de Silverio, reconocieron las prendas no lejos del cadáver el cual no alcanzaron a ver por haber sido ya sepultado. Después fui llamada por D. Zacarías Sansores que por orden de D. Sixto me entregaba $2 que no recibí y me dijo que pase a Tekax para arreglar la deuda de mi esposo, llena de zozobras e inquietudes pase a Tekax en compañía de mi madre y de mi suegra. Ya en Tekax fui introducida al despacho del juzgado habiendo sido rechazada mi madre y mi suegra. En el juzgado reconocí las prendas de mi esposo tuve ganas de gritar</w:t>
      </w:r>
      <w:r w:rsidR="00C66D7E">
        <w:rPr>
          <w:i/>
        </w:rPr>
        <w:t>,</w:t>
      </w:r>
      <w:r w:rsidR="002D46B0" w:rsidRPr="006A0D1F">
        <w:rPr>
          <w:i/>
        </w:rPr>
        <w:t xml:space="preserve"> sentí que se me obscurecía la vista y que se me mojaban los ojos que me estaban ardiendo”.</w:t>
      </w:r>
      <w:r w:rsidR="00531F18">
        <w:rPr>
          <w:i/>
        </w:rPr>
        <w:t xml:space="preserve"> </w:t>
      </w:r>
      <w:r w:rsidR="002D46B0" w:rsidRPr="006A0D1F">
        <w:t xml:space="preserve">La anterior </w:t>
      </w:r>
      <w:r w:rsidRPr="006A0D1F">
        <w:t xml:space="preserve">declaración </w:t>
      </w:r>
      <w:r w:rsidR="002D46B0" w:rsidRPr="006A0D1F">
        <w:t>reprodu</w:t>
      </w:r>
      <w:r w:rsidR="00C4101B">
        <w:t xml:space="preserve">jo </w:t>
      </w:r>
      <w:r w:rsidR="002D46B0" w:rsidRPr="006A0D1F">
        <w:t xml:space="preserve">la confrontación </w:t>
      </w:r>
      <w:r w:rsidR="00D16650">
        <w:t xml:space="preserve">de la mujer </w:t>
      </w:r>
      <w:r w:rsidR="00F926F7">
        <w:t xml:space="preserve">con el Sr. </w:t>
      </w:r>
      <w:r w:rsidR="006B1E81" w:rsidRPr="006A0D1F">
        <w:t>Hercila</w:t>
      </w:r>
      <w:r w:rsidR="006B1E81" w:rsidRPr="006A0D1F" w:rsidDel="00F926F7">
        <w:t>:</w:t>
      </w:r>
      <w:r w:rsidRPr="006A0D1F">
        <w:t xml:space="preserve"> </w:t>
      </w:r>
      <w:r w:rsidR="002D46B0" w:rsidRPr="006A0D1F">
        <w:t>“</w:t>
      </w:r>
      <w:r w:rsidR="002D46B0" w:rsidRPr="006A0D1F">
        <w:rPr>
          <w:i/>
        </w:rPr>
        <w:t xml:space="preserve">sino lo hubieses engañado para que abandonase el servicio de D. Manuel Cirerol, no hubiese pasado esta desgracia”. </w:t>
      </w:r>
    </w:p>
    <w:p w14:paraId="3DBF26C7" w14:textId="1FE491F6" w:rsidR="00727904" w:rsidRDefault="00727904" w:rsidP="00727904">
      <w:pPr>
        <w:spacing w:line="480" w:lineRule="auto"/>
        <w:ind w:firstLine="708"/>
        <w:jc w:val="both"/>
        <w:rPr>
          <w:i/>
        </w:rPr>
      </w:pPr>
      <w:r>
        <w:t xml:space="preserve">El 8 de septiembre de 1890, </w:t>
      </w:r>
      <w:r w:rsidRPr="00531F18">
        <w:rPr>
          <w:i/>
        </w:rPr>
        <w:t>El Eco</w:t>
      </w:r>
      <w:r>
        <w:rPr>
          <w:i/>
        </w:rPr>
        <w:t xml:space="preserve"> </w:t>
      </w:r>
      <w:r>
        <w:t>publicó que se observó</w:t>
      </w:r>
      <w:r w:rsidRPr="006A0D1F">
        <w:t xml:space="preserve"> un carruaje que tenía las cortinas sueltas, </w:t>
      </w:r>
      <w:r>
        <w:t xml:space="preserve">y dentro estaba </w:t>
      </w:r>
      <w:r w:rsidRPr="006A0D1F">
        <w:t xml:space="preserve">uno de los mayordomos del Sr. Cirerol, era Calderón quien se dirigía a Teabo. Estando allí </w:t>
      </w:r>
      <w:r>
        <w:t>averiguó que</w:t>
      </w:r>
      <w:r w:rsidRPr="006A0D1F">
        <w:t>: “</w:t>
      </w:r>
      <w:r w:rsidRPr="006A0D1F">
        <w:rPr>
          <w:i/>
        </w:rPr>
        <w:t>vecinos de Penkuyut fueron llamados a declarar ante el juzgado de Tekax, el interrogatorio fue limitado a hechos que ayudaban al esclarecimiento de la verdad”.</w:t>
      </w:r>
      <w:r w:rsidRPr="006A0D1F">
        <w:t xml:space="preserve"> </w:t>
      </w:r>
      <w:r>
        <w:t xml:space="preserve">En esa misma fecha el reportero señaló que un informante le mostró el lugar donde se halló el cadáver </w:t>
      </w:r>
      <w:r w:rsidRPr="006A0D1F">
        <w:t>“</w:t>
      </w:r>
      <w:r>
        <w:rPr>
          <w:i/>
        </w:rPr>
        <w:t xml:space="preserve">la </w:t>
      </w:r>
      <w:r w:rsidRPr="006A0D1F">
        <w:rPr>
          <w:i/>
        </w:rPr>
        <w:t>1er diligencia judicial lo recogió de este lugar, hace suponer que había sido traído de otra parte y tirado</w:t>
      </w:r>
      <w:r>
        <w:rPr>
          <w:i/>
        </w:rPr>
        <w:t>.</w:t>
      </w:r>
      <w:r w:rsidRPr="006A0D1F">
        <w:rPr>
          <w:i/>
        </w:rPr>
        <w:t xml:space="preserve"> No se halla aquí gota de sangre, y hay más, el hecho de haberse encontrado al lado opuesto de ese camino fue para confundir a la justicia”.</w:t>
      </w:r>
    </w:p>
    <w:p w14:paraId="693F7B54" w14:textId="7CCEDF6C" w:rsidR="00727904" w:rsidRPr="00727904" w:rsidRDefault="00727904" w:rsidP="00727904">
      <w:pPr>
        <w:spacing w:line="480" w:lineRule="auto"/>
        <w:ind w:firstLine="708"/>
        <w:jc w:val="both"/>
        <w:rPr>
          <w:i/>
        </w:rPr>
      </w:pPr>
      <w:r w:rsidRPr="006A0D1F">
        <w:t xml:space="preserve">La </w:t>
      </w:r>
      <w:r>
        <w:t xml:space="preserve">actitud de la </w:t>
      </w:r>
      <w:r w:rsidRPr="006A0D1F">
        <w:t xml:space="preserve">administración de justicia en Tekax fue seguida por </w:t>
      </w:r>
      <w:r w:rsidRPr="006A0D1F">
        <w:rPr>
          <w:i/>
        </w:rPr>
        <w:t>El Eco</w:t>
      </w:r>
      <w:r>
        <w:rPr>
          <w:i/>
        </w:rPr>
        <w:t xml:space="preserve">, y en </w:t>
      </w:r>
      <w:r w:rsidRPr="00531F18">
        <w:t xml:space="preserve">la nota del </w:t>
      </w:r>
      <w:r>
        <w:t>8</w:t>
      </w:r>
      <w:r w:rsidRPr="00531F18">
        <w:t xml:space="preserve"> de septiembre</w:t>
      </w:r>
      <w:r>
        <w:t xml:space="preserve"> </w:t>
      </w:r>
      <w:r w:rsidRPr="006A0D1F">
        <w:t>felicit</w:t>
      </w:r>
      <w:r>
        <w:t>ó</w:t>
      </w:r>
      <w:r w:rsidRPr="006A0D1F">
        <w:t xml:space="preserve"> a la autoridad tekaxena y al Juez de primera instancia</w:t>
      </w:r>
      <w:r>
        <w:t xml:space="preserve"> por la</w:t>
      </w:r>
      <w:r w:rsidRPr="006A0D1F">
        <w:t xml:space="preserve"> recopilación de datos para </w:t>
      </w:r>
      <w:r>
        <w:t xml:space="preserve">aprehender a </w:t>
      </w:r>
      <w:r w:rsidRPr="006A0D1F">
        <w:t>los presuntos criminales (Fuentes, Araujo y Calderón)</w:t>
      </w:r>
      <w:r>
        <w:t xml:space="preserve">. Luego criticó la pronta liberación advirtiendo </w:t>
      </w:r>
      <w:r>
        <w:rPr>
          <w:i/>
        </w:rPr>
        <w:t>“</w:t>
      </w:r>
      <w:r w:rsidRPr="006A0D1F">
        <w:rPr>
          <w:i/>
        </w:rPr>
        <w:t xml:space="preserve">la sociedad </w:t>
      </w:r>
      <w:r>
        <w:rPr>
          <w:i/>
        </w:rPr>
        <w:t xml:space="preserve">lo </w:t>
      </w:r>
      <w:r w:rsidRPr="006A0D1F">
        <w:rPr>
          <w:i/>
        </w:rPr>
        <w:t>deplora, pareciera desvanecido el consejo de la autoridad judicial</w:t>
      </w:r>
      <w:r>
        <w:rPr>
          <w:i/>
        </w:rPr>
        <w:t>. L</w:t>
      </w:r>
      <w:r w:rsidRPr="006A0D1F">
        <w:rPr>
          <w:i/>
        </w:rPr>
        <w:t>a conciencia pública deseosa de conocer hasta d</w:t>
      </w:r>
      <w:r>
        <w:rPr>
          <w:i/>
        </w:rPr>
        <w:t>ó</w:t>
      </w:r>
      <w:r w:rsidRPr="006A0D1F">
        <w:rPr>
          <w:i/>
        </w:rPr>
        <w:t>nde fuese posible la actitud del Sr. Juez</w:t>
      </w:r>
      <w:r>
        <w:rPr>
          <w:i/>
        </w:rPr>
        <w:t xml:space="preserve"> hará sus deducciones</w:t>
      </w:r>
      <w:r w:rsidRPr="006A0D1F">
        <w:rPr>
          <w:i/>
        </w:rPr>
        <w:t>, le expres</w:t>
      </w:r>
      <w:r>
        <w:rPr>
          <w:i/>
        </w:rPr>
        <w:t>é</w:t>
      </w:r>
      <w:r w:rsidRPr="006A0D1F">
        <w:rPr>
          <w:i/>
        </w:rPr>
        <w:t xml:space="preserve"> los deseos de contribuir por el deber impuesto por la ley a todo ciudadano de cooperar para ayudar a la justicia para los esclarecimientos de los hechos sometidos a la acción penal</w:t>
      </w:r>
      <w:r>
        <w:rPr>
          <w:i/>
        </w:rPr>
        <w:t>”</w:t>
      </w:r>
      <w:r w:rsidRPr="006A0D1F">
        <w:rPr>
          <w:i/>
        </w:rPr>
        <w:t>.</w:t>
      </w:r>
    </w:p>
    <w:p w14:paraId="22F75829" w14:textId="15727EC4" w:rsidR="00E2662B" w:rsidRDefault="002D46B0" w:rsidP="005C267B">
      <w:pPr>
        <w:spacing w:line="480" w:lineRule="auto"/>
        <w:ind w:firstLine="708"/>
        <w:jc w:val="both"/>
      </w:pPr>
      <w:r w:rsidRPr="006A0D1F">
        <w:t xml:space="preserve"> </w:t>
      </w:r>
      <w:r w:rsidR="00E2662B" w:rsidRPr="00531F18">
        <w:t>El 9 de septiembre de 1890,</w:t>
      </w:r>
      <w:r w:rsidR="00E2662B">
        <w:rPr>
          <w:i/>
        </w:rPr>
        <w:t xml:space="preserve"> </w:t>
      </w:r>
      <w:r w:rsidR="003C02B6" w:rsidRPr="006A0D1F">
        <w:rPr>
          <w:i/>
        </w:rPr>
        <w:t xml:space="preserve">El Eco </w:t>
      </w:r>
      <w:r w:rsidR="00E2662B">
        <w:t xml:space="preserve">demandó que </w:t>
      </w:r>
      <w:r w:rsidR="00672BB9">
        <w:t>la sociedad tiene derecho de estar informada, y criticó la acción del juez en el siguiente tenor</w:t>
      </w:r>
      <w:r w:rsidR="003C02B6">
        <w:t>:</w:t>
      </w:r>
      <w:r w:rsidRPr="006A0D1F">
        <w:t xml:space="preserve"> “</w:t>
      </w:r>
      <w:r w:rsidRPr="006A0D1F">
        <w:rPr>
          <w:i/>
        </w:rPr>
        <w:t>si el Juez hubiese obrado con la cautela e inteligencia</w:t>
      </w:r>
      <w:r w:rsidR="00E2662B">
        <w:rPr>
          <w:i/>
        </w:rPr>
        <w:t>…</w:t>
      </w:r>
      <w:r w:rsidR="00672BB9">
        <w:rPr>
          <w:i/>
        </w:rPr>
        <w:t xml:space="preserve"> los asesinos no habrían sido liberados.</w:t>
      </w:r>
      <w:r w:rsidR="005C267B">
        <w:t>[La autoridad]</w:t>
      </w:r>
      <w:r w:rsidR="005C267B" w:rsidRPr="006A0D1F" w:rsidDel="005C267B">
        <w:t xml:space="preserve"> </w:t>
      </w:r>
      <w:r w:rsidR="005C267B" w:rsidRPr="006A0D1F">
        <w:rPr>
          <w:i/>
        </w:rPr>
        <w:t>Debió constituirse al lugar donde fue encontrado el cuerpo de García y detallar todos los accidentes y circunstancias, haciendo notar todas las huellas o señales para formar un juicio exacto de que si allí se efectuó el homicidio o si sólo fue llevado el cadáver”.</w:t>
      </w:r>
      <w:r w:rsidR="005C267B" w:rsidRPr="005C267B">
        <w:t xml:space="preserve"> </w:t>
      </w:r>
    </w:p>
    <w:p w14:paraId="6D9561C8" w14:textId="056EA196" w:rsidR="0066016C" w:rsidRDefault="00E2662B" w:rsidP="005C267B">
      <w:pPr>
        <w:spacing w:line="480" w:lineRule="auto"/>
        <w:ind w:firstLine="708"/>
        <w:jc w:val="both"/>
      </w:pPr>
      <w:r w:rsidRPr="00A138C9">
        <w:rPr>
          <w:i/>
        </w:rPr>
        <w:t>El Eco</w:t>
      </w:r>
      <w:r>
        <w:t xml:space="preserve"> i</w:t>
      </w:r>
      <w:r w:rsidR="0066016C">
        <w:t>nsistió</w:t>
      </w:r>
      <w:r w:rsidR="005C267B">
        <w:t xml:space="preserve"> en elevar el nivel de la investigación pericial con tres acciones: </w:t>
      </w:r>
      <w:r w:rsidR="005C267B" w:rsidRPr="006A0D1F">
        <w:t>un cateo en las propiedades o bodegas del Sr. Cirerol para determinar si lo mataron o no allí Fuentes, Araujo y Calderó</w:t>
      </w:r>
      <w:r w:rsidR="005C267B">
        <w:t>n; la toma de declaraciones a cocheros de los ranchos</w:t>
      </w:r>
      <w:r>
        <w:t xml:space="preserve"> y la</w:t>
      </w:r>
      <w:r w:rsidR="005C267B">
        <w:t xml:space="preserve"> exigencia de incomunicarlos previamente</w:t>
      </w:r>
      <w:r w:rsidR="006D7F23">
        <w:t>.</w:t>
      </w:r>
      <w:r w:rsidR="005C267B">
        <w:t xml:space="preserve"> </w:t>
      </w:r>
    </w:p>
    <w:p w14:paraId="112B3B42" w14:textId="03EE7614" w:rsidR="005C267B" w:rsidRDefault="009B4284" w:rsidP="005C267B">
      <w:pPr>
        <w:spacing w:line="480" w:lineRule="auto"/>
        <w:ind w:firstLine="708"/>
        <w:jc w:val="both"/>
      </w:pPr>
      <w:r>
        <w:t>En esa nota</w:t>
      </w:r>
      <w:r w:rsidR="003043EE">
        <w:t xml:space="preserve"> del 9 de septiembre</w:t>
      </w:r>
      <w:r>
        <w:t xml:space="preserve">, </w:t>
      </w:r>
      <w:r w:rsidR="0066016C">
        <w:t xml:space="preserve">El </w:t>
      </w:r>
      <w:r w:rsidR="0066016C" w:rsidRPr="006D7F23">
        <w:rPr>
          <w:i/>
        </w:rPr>
        <w:t xml:space="preserve">Eco </w:t>
      </w:r>
      <w:r w:rsidR="0066016C">
        <w:t>expuso que</w:t>
      </w:r>
      <w:r w:rsidR="005C267B">
        <w:t xml:space="preserve">: </w:t>
      </w:r>
      <w:r w:rsidR="005C267B" w:rsidRPr="006A0D1F">
        <w:rPr>
          <w:i/>
        </w:rPr>
        <w:t xml:space="preserve">No aceptamos dejar al tiempo y a la casualidad la averiguación de posdelitos. </w:t>
      </w:r>
      <w:r w:rsidR="006D7F23">
        <w:t xml:space="preserve">Además se presumió </w:t>
      </w:r>
      <w:r w:rsidR="003043EE">
        <w:t xml:space="preserve">de la existencia de </w:t>
      </w:r>
      <w:r w:rsidR="006D7F23">
        <w:t xml:space="preserve">tráfico de influencias ya que </w:t>
      </w:r>
      <w:r w:rsidR="005C267B">
        <w:t>el ex dueño de la Finca</w:t>
      </w:r>
      <w:r w:rsidR="004933F3">
        <w:t>,</w:t>
      </w:r>
      <w:r w:rsidR="002D46B0" w:rsidRPr="006A0D1F">
        <w:t xml:space="preserve"> Sixto Hercila</w:t>
      </w:r>
      <w:r w:rsidR="004933F3">
        <w:t>,</w:t>
      </w:r>
      <w:r w:rsidR="002D46B0" w:rsidRPr="006A0D1F">
        <w:t xml:space="preserve"> era Secretario del Juzgado</w:t>
      </w:r>
      <w:r w:rsidR="006D7F23">
        <w:t xml:space="preserve">, por lo que se dijo: </w:t>
      </w:r>
      <w:r w:rsidR="002D46B0" w:rsidRPr="006A0D1F">
        <w:rPr>
          <w:i/>
        </w:rPr>
        <w:t>“fuera de toda duda lo primero que debió de haber hecho el Juez de la causa era separarlo de esta secretaria”.</w:t>
      </w:r>
      <w:r w:rsidR="005C267B">
        <w:t xml:space="preserve"> </w:t>
      </w:r>
      <w:r w:rsidR="0056479A" w:rsidRPr="006A0D1F">
        <w:rPr>
          <w:i/>
        </w:rPr>
        <w:t xml:space="preserve">El Eco </w:t>
      </w:r>
      <w:r w:rsidR="0066016C">
        <w:t xml:space="preserve">expresó </w:t>
      </w:r>
      <w:r w:rsidR="0056479A" w:rsidRPr="006A0D1F">
        <w:t xml:space="preserve">que </w:t>
      </w:r>
      <w:r w:rsidR="002D46B0" w:rsidRPr="006A0D1F">
        <w:t xml:space="preserve">Hercila ocultaba </w:t>
      </w:r>
      <w:r w:rsidR="00F90FCD">
        <w:t xml:space="preserve">información </w:t>
      </w:r>
      <w:r w:rsidR="0056479A" w:rsidRPr="006A0D1F">
        <w:t>para encubrir la gravedad del suceso.</w:t>
      </w:r>
    </w:p>
    <w:p w14:paraId="08DA7A51" w14:textId="32379D18" w:rsidR="005C267B" w:rsidRDefault="005C267B" w:rsidP="000A67B2">
      <w:pPr>
        <w:spacing w:line="480" w:lineRule="auto"/>
        <w:ind w:firstLine="708"/>
        <w:jc w:val="both"/>
      </w:pPr>
      <w:r>
        <w:t>La respuesta de las</w:t>
      </w:r>
      <w:r w:rsidR="0066016C">
        <w:t xml:space="preserve"> autoridades no se hizo esperar</w:t>
      </w:r>
      <w:r>
        <w:t>, e</w:t>
      </w:r>
      <w:r w:rsidR="002D46B0" w:rsidRPr="006A0D1F">
        <w:t xml:space="preserve">l editor de </w:t>
      </w:r>
      <w:r w:rsidR="002D46B0" w:rsidRPr="006A0D1F">
        <w:rPr>
          <w:i/>
        </w:rPr>
        <w:t xml:space="preserve">El Eco </w:t>
      </w:r>
      <w:r w:rsidR="002D46B0" w:rsidRPr="006A0D1F">
        <w:t xml:space="preserve">Manuel Heredia Argüelles fue citado por el juzgado primero de lo criminal para hacerle un exhorto. </w:t>
      </w:r>
      <w:r>
        <w:t>El</w:t>
      </w:r>
      <w:r w:rsidR="002D46B0" w:rsidRPr="006A0D1F">
        <w:t xml:space="preserve"> interrogatorio </w:t>
      </w:r>
      <w:r>
        <w:t>fue para cuestionar</w:t>
      </w:r>
      <w:r w:rsidR="00DF4D75">
        <w:t>le</w:t>
      </w:r>
      <w:r w:rsidR="002D46B0" w:rsidRPr="006A0D1F">
        <w:t xml:space="preserve"> cómo </w:t>
      </w:r>
      <w:r w:rsidR="00A652FC" w:rsidRPr="006A0D1F">
        <w:t xml:space="preserve">obtuvo </w:t>
      </w:r>
      <w:r w:rsidR="002D46B0" w:rsidRPr="006A0D1F">
        <w:t xml:space="preserve">todos </w:t>
      </w:r>
      <w:r w:rsidR="004933F3">
        <w:t xml:space="preserve">los </w:t>
      </w:r>
      <w:r w:rsidR="002D46B0" w:rsidRPr="006A0D1F">
        <w:t>datos</w:t>
      </w:r>
      <w:r w:rsidR="00A652FC" w:rsidRPr="006A0D1F">
        <w:t xml:space="preserve"> de sus notas</w:t>
      </w:r>
      <w:r w:rsidR="002D46B0" w:rsidRPr="006A0D1F">
        <w:t xml:space="preserve">. </w:t>
      </w:r>
      <w:r w:rsidR="00A652FC" w:rsidRPr="006A0D1F">
        <w:t xml:space="preserve">La actitud de la autoridad fue </w:t>
      </w:r>
      <w:r w:rsidR="00DF4D75">
        <w:t xml:space="preserve">criticada </w:t>
      </w:r>
      <w:r>
        <w:t xml:space="preserve">por </w:t>
      </w:r>
      <w:r w:rsidRPr="004933F3">
        <w:rPr>
          <w:i/>
        </w:rPr>
        <w:t xml:space="preserve">El </w:t>
      </w:r>
      <w:r w:rsidR="000A67B2" w:rsidRPr="004933F3">
        <w:rPr>
          <w:i/>
        </w:rPr>
        <w:t>Eco</w:t>
      </w:r>
      <w:r w:rsidR="000A67B2" w:rsidRPr="000A67B2">
        <w:t xml:space="preserve"> el</w:t>
      </w:r>
      <w:r w:rsidR="009B4284" w:rsidRPr="000A67B2">
        <w:t xml:space="preserve"> 09 de septiembre de 1890</w:t>
      </w:r>
      <w:r w:rsidR="00A652FC" w:rsidRPr="006A0D1F">
        <w:t xml:space="preserve">: </w:t>
      </w:r>
      <w:r w:rsidR="002D46B0" w:rsidRPr="006A0D1F">
        <w:t>“</w:t>
      </w:r>
      <w:r w:rsidR="002D46B0" w:rsidRPr="006A0D1F">
        <w:rPr>
          <w:i/>
        </w:rPr>
        <w:t xml:space="preserve">está perdiendo un tiempo precioso con exhortos inoportunos: dijimos </w:t>
      </w:r>
      <w:r w:rsidR="00F90FCD">
        <w:rPr>
          <w:i/>
        </w:rPr>
        <w:t xml:space="preserve">que </w:t>
      </w:r>
      <w:r w:rsidR="002D46B0" w:rsidRPr="006A0D1F">
        <w:rPr>
          <w:i/>
        </w:rPr>
        <w:t>en los números 1108 y 1109</w:t>
      </w:r>
      <w:r w:rsidR="00F90FCD">
        <w:rPr>
          <w:i/>
        </w:rPr>
        <w:t xml:space="preserve"> n</w:t>
      </w:r>
      <w:r w:rsidR="002D46B0" w:rsidRPr="006A0D1F">
        <w:rPr>
          <w:i/>
        </w:rPr>
        <w:t>uestro periódico fue el fonógrafo de la opinión pública, repitió las versiones que circulaban más o menos</w:t>
      </w:r>
      <w:r w:rsidR="003043EE">
        <w:rPr>
          <w:i/>
        </w:rPr>
        <w:t xml:space="preserve"> </w:t>
      </w:r>
      <w:r w:rsidR="002D46B0" w:rsidRPr="006A0D1F">
        <w:rPr>
          <w:i/>
        </w:rPr>
        <w:t>verídicas pero sin hacerse autor ni responsable de ninguna. Tengamos poca esperanza del resultado de estas diligencias que no en Mérida sino en Tekax, la justicia debe de encontrar toda verdad del último crimen</w:t>
      </w:r>
      <w:r w:rsidR="00F90FCD">
        <w:rPr>
          <w:i/>
        </w:rPr>
        <w:t>,</w:t>
      </w:r>
      <w:r w:rsidR="002D46B0" w:rsidRPr="006A0D1F">
        <w:rPr>
          <w:i/>
        </w:rPr>
        <w:t xml:space="preserve"> puesto que sin ser jueces la hemos recogido”. </w:t>
      </w:r>
    </w:p>
    <w:p w14:paraId="16FA29C1" w14:textId="7056D58B" w:rsidR="0066016C" w:rsidRDefault="00491C6B" w:rsidP="00F05345">
      <w:pPr>
        <w:spacing w:line="480" w:lineRule="auto"/>
        <w:ind w:firstLine="708"/>
        <w:jc w:val="both"/>
      </w:pPr>
      <w:r>
        <w:t xml:space="preserve">El 10 de septiembre de 1890, </w:t>
      </w:r>
      <w:r w:rsidR="00A652FC" w:rsidRPr="006A0D1F">
        <w:rPr>
          <w:i/>
        </w:rPr>
        <w:t xml:space="preserve">El Eco </w:t>
      </w:r>
      <w:r w:rsidR="0066016C">
        <w:t>continuó</w:t>
      </w:r>
      <w:r w:rsidR="00A652FC" w:rsidRPr="006A0D1F">
        <w:t xml:space="preserve"> acus</w:t>
      </w:r>
      <w:r w:rsidR="0066016C">
        <w:t>ando</w:t>
      </w:r>
      <w:r w:rsidR="00A652FC" w:rsidRPr="006A0D1F">
        <w:t xml:space="preserve"> a las autoridades de Tekax de dejar al asesinato como un enigma</w:t>
      </w:r>
      <w:r w:rsidR="0066016C">
        <w:t>. Advirtió</w:t>
      </w:r>
      <w:r w:rsidR="009F076F">
        <w:t xml:space="preserve"> a sus lectores que</w:t>
      </w:r>
      <w:r w:rsidR="002D46B0" w:rsidRPr="006A0D1F">
        <w:t>: “</w:t>
      </w:r>
      <w:r w:rsidR="002D46B0" w:rsidRPr="006A0D1F">
        <w:rPr>
          <w:i/>
        </w:rPr>
        <w:t>nada que indique que se quiera llegar a la averiguación de este crimen podritorio, un pobre jornalero, que no tenía más delito</w:t>
      </w:r>
      <w:r w:rsidR="000A407F">
        <w:rPr>
          <w:i/>
        </w:rPr>
        <w:t xml:space="preserve"> [que] </w:t>
      </w:r>
      <w:r w:rsidR="002D46B0" w:rsidRPr="006A0D1F">
        <w:rPr>
          <w:i/>
        </w:rPr>
        <w:t>haber abandonado el servicio considerándose como prófugo. Con franqueza ya esta conducta de las autoridades encargadas del castigo de los criminales nos hará escépticos y descreídos y exclamar, parodiando a bruto ¡Justicia! No eres más que una palabra”.</w:t>
      </w:r>
      <w:r w:rsidR="00851E09">
        <w:rPr>
          <w:i/>
        </w:rPr>
        <w:t xml:space="preserve"> </w:t>
      </w:r>
      <w:r w:rsidR="000A407F">
        <w:t xml:space="preserve">Además del </w:t>
      </w:r>
      <w:r w:rsidR="009F076F">
        <w:t xml:space="preserve">descrédito </w:t>
      </w:r>
      <w:r w:rsidR="000A407F">
        <w:t xml:space="preserve">hacia </w:t>
      </w:r>
      <w:r w:rsidR="009F076F">
        <w:t>las autoridades</w:t>
      </w:r>
      <w:r w:rsidR="000A407F">
        <w:t xml:space="preserve"> civiles, también se denunció el interés por saber sobre los </w:t>
      </w:r>
      <w:r w:rsidR="009F076F">
        <w:t xml:space="preserve">atropellos </w:t>
      </w:r>
      <w:r w:rsidR="000A407F">
        <w:t xml:space="preserve">que ocasionaban </w:t>
      </w:r>
      <w:r w:rsidR="009F076F">
        <w:t xml:space="preserve">los </w:t>
      </w:r>
      <w:r w:rsidR="008447D4">
        <w:t>hacendados</w:t>
      </w:r>
      <w:r w:rsidR="009F076F">
        <w:t xml:space="preserve">. </w:t>
      </w:r>
    </w:p>
    <w:p w14:paraId="244E9500" w14:textId="1A925FFD" w:rsidR="00491C6B" w:rsidRDefault="0066016C" w:rsidP="00AF15DE">
      <w:pPr>
        <w:spacing w:line="480" w:lineRule="auto"/>
        <w:ind w:firstLine="708"/>
        <w:jc w:val="both"/>
      </w:pPr>
      <w:r w:rsidRPr="006A0D1F">
        <w:t xml:space="preserve">Al parecer, el escándalo </w:t>
      </w:r>
      <w:r w:rsidR="00AF15DE">
        <w:t>de</w:t>
      </w:r>
      <w:r w:rsidRPr="006A0D1F">
        <w:t>l ase</w:t>
      </w:r>
      <w:r>
        <w:t xml:space="preserve">sinato de Silveiro García </w:t>
      </w:r>
      <w:r w:rsidR="00AF15DE">
        <w:t>desató</w:t>
      </w:r>
      <w:r>
        <w:t xml:space="preserve"> </w:t>
      </w:r>
      <w:r w:rsidRPr="006A0D1F">
        <w:t>repudio</w:t>
      </w:r>
      <w:r>
        <w:t xml:space="preserve"> entre los demás jornaleros, quienes </w:t>
      </w:r>
      <w:r w:rsidRPr="006A0D1F">
        <w:t xml:space="preserve">empezaron a buscar </w:t>
      </w:r>
      <w:r w:rsidR="004142D4">
        <w:t xml:space="preserve">medios para </w:t>
      </w:r>
      <w:r>
        <w:t>impedir</w:t>
      </w:r>
      <w:r w:rsidRPr="006A0D1F">
        <w:t xml:space="preserve"> este tipo de acciones</w:t>
      </w:r>
      <w:r w:rsidR="00491C6B">
        <w:t>, mismas narraciones fueron expuestas el 10 de septiembre de 1890</w:t>
      </w:r>
      <w:r w:rsidRPr="006A0D1F">
        <w:rPr>
          <w:i/>
        </w:rPr>
        <w:t>.</w:t>
      </w:r>
      <w:r>
        <w:t xml:space="preserve"> </w:t>
      </w:r>
      <w:r w:rsidR="00F05ECE">
        <w:t>Por ejemplo:</w:t>
      </w:r>
      <w:r w:rsidR="009F076F">
        <w:t xml:space="preserve"> </w:t>
      </w:r>
      <w:r w:rsidR="002D46B0" w:rsidRPr="006A0D1F">
        <w:t>Policarpio Cul</w:t>
      </w:r>
      <w:r w:rsidR="00491C6B">
        <w:t xml:space="preserve"> asistió</w:t>
      </w:r>
      <w:r w:rsidR="002D46B0" w:rsidRPr="006A0D1F">
        <w:t xml:space="preserve"> con el Juez de Paz Nicolás Canto para denunciar </w:t>
      </w:r>
      <w:r w:rsidR="00073476" w:rsidRPr="006A0D1F">
        <w:t>la</w:t>
      </w:r>
      <w:r w:rsidR="002D46B0" w:rsidRPr="006A0D1F">
        <w:t xml:space="preserve"> flagelación</w:t>
      </w:r>
      <w:r w:rsidR="00073476" w:rsidRPr="006A0D1F">
        <w:t xml:space="preserve"> Pedro Chim</w:t>
      </w:r>
      <w:r w:rsidR="000A407F">
        <w:t xml:space="preserve">, quien recibió por </w:t>
      </w:r>
      <w:r>
        <w:t>parte de</w:t>
      </w:r>
      <w:r w:rsidR="00073476" w:rsidRPr="006A0D1F">
        <w:t xml:space="preserve"> </w:t>
      </w:r>
      <w:r w:rsidR="002D46B0" w:rsidRPr="006A0D1F">
        <w:t>José M. Ramírez</w:t>
      </w:r>
      <w:r w:rsidR="00073476" w:rsidRPr="006A0D1F">
        <w:t>,</w:t>
      </w:r>
      <w:r w:rsidR="002D46B0" w:rsidRPr="006A0D1F">
        <w:t xml:space="preserve"> mayordomo de la </w:t>
      </w:r>
      <w:r w:rsidR="003043EE">
        <w:t>h</w:t>
      </w:r>
      <w:r w:rsidR="002D46B0" w:rsidRPr="006A0D1F">
        <w:t>acienda Catmís</w:t>
      </w:r>
      <w:r w:rsidR="00073476" w:rsidRPr="006A0D1F">
        <w:t xml:space="preserve">, </w:t>
      </w:r>
      <w:r w:rsidR="0020438C" w:rsidRPr="006A0D1F">
        <w:t>cerca</w:t>
      </w:r>
      <w:r w:rsidR="00073476" w:rsidRPr="006A0D1F">
        <w:t xml:space="preserve"> de “</w:t>
      </w:r>
      <w:r w:rsidR="00073476" w:rsidRPr="006A0D1F">
        <w:rPr>
          <w:i/>
        </w:rPr>
        <w:t>cien azotes a tal grado de tener gusanera</w:t>
      </w:r>
      <w:r w:rsidR="00073476" w:rsidRPr="006A0D1F">
        <w:t>”</w:t>
      </w:r>
      <w:r w:rsidR="00073476" w:rsidRPr="006A0D1F">
        <w:rPr>
          <w:rStyle w:val="Refdenotaalpie"/>
          <w:i/>
        </w:rPr>
        <w:t xml:space="preserve"> </w:t>
      </w:r>
      <w:r w:rsidR="00073476" w:rsidRPr="006A0D1F">
        <w:t xml:space="preserve">para luego </w:t>
      </w:r>
      <w:r w:rsidR="002D46B0" w:rsidRPr="006A0D1F">
        <w:t>encerr</w:t>
      </w:r>
      <w:r w:rsidR="00073476" w:rsidRPr="006A0D1F">
        <w:t>arlo</w:t>
      </w:r>
      <w:r w:rsidR="002D46B0" w:rsidRPr="006A0D1F">
        <w:t xml:space="preserve"> en una celda para que se recuperara de las huellas del castigo</w:t>
      </w:r>
      <w:r w:rsidR="00073476" w:rsidRPr="006A0D1F">
        <w:t xml:space="preserve">, por tanto: </w:t>
      </w:r>
      <w:r w:rsidR="002D46B0" w:rsidRPr="006A0D1F">
        <w:t>“</w:t>
      </w:r>
      <w:r w:rsidR="00073476" w:rsidRPr="00DA6BD9">
        <w:rPr>
          <w:i/>
        </w:rPr>
        <w:t>p</w:t>
      </w:r>
      <w:r w:rsidR="002D46B0" w:rsidRPr="006A0D1F">
        <w:rPr>
          <w:i/>
        </w:rPr>
        <w:t>ide fundado en estos poderosos motivos su separación de aquella finca para librarse de tratos inhumanos”.</w:t>
      </w:r>
      <w:r w:rsidR="002D46B0" w:rsidRPr="006A0D1F">
        <w:t xml:space="preserve"> </w:t>
      </w:r>
    </w:p>
    <w:p w14:paraId="57530FC8" w14:textId="25DFA10B" w:rsidR="00491C6B" w:rsidRDefault="004142D4" w:rsidP="00AF15DE">
      <w:pPr>
        <w:spacing w:line="480" w:lineRule="auto"/>
        <w:ind w:firstLine="708"/>
        <w:jc w:val="both"/>
        <w:rPr>
          <w:i/>
        </w:rPr>
      </w:pPr>
      <w:r>
        <w:t>E</w:t>
      </w:r>
      <w:r w:rsidR="00F05ECE" w:rsidRPr="006A0D1F">
        <w:t xml:space="preserve">l 16 de septiembre de 1890 </w:t>
      </w:r>
      <w:r w:rsidR="00F05ECE" w:rsidRPr="006A0D1F">
        <w:rPr>
          <w:i/>
        </w:rPr>
        <w:t xml:space="preserve">El Eco </w:t>
      </w:r>
      <w:r w:rsidR="00F05ECE" w:rsidRPr="006A0D1F">
        <w:t xml:space="preserve">publicó la declaración de Luisa Ku, </w:t>
      </w:r>
      <w:r w:rsidR="00F05ECE">
        <w:t xml:space="preserve">quien </w:t>
      </w:r>
      <w:r w:rsidR="00F05ECE" w:rsidRPr="006A0D1F">
        <w:rPr>
          <w:i/>
        </w:rPr>
        <w:t xml:space="preserve">estaba presa en San Antonio Catmís. </w:t>
      </w:r>
      <w:r w:rsidR="00AF15DE">
        <w:t>Así,</w:t>
      </w:r>
      <w:r w:rsidR="002D46B0" w:rsidRPr="006A0D1F">
        <w:t xml:space="preserve"> las autoridades </w:t>
      </w:r>
      <w:r w:rsidR="00BE4A07" w:rsidRPr="006A0D1F">
        <w:t>rurales fue</w:t>
      </w:r>
      <w:r w:rsidR="000A407F">
        <w:t>ron</w:t>
      </w:r>
      <w:r w:rsidR="002D46B0" w:rsidRPr="006A0D1F">
        <w:t xml:space="preserve"> </w:t>
      </w:r>
      <w:r w:rsidR="00491C6B">
        <w:t xml:space="preserve">expuestas </w:t>
      </w:r>
      <w:r w:rsidR="002D46B0" w:rsidRPr="006A0D1F">
        <w:t xml:space="preserve">por </w:t>
      </w:r>
      <w:r w:rsidR="002D46B0" w:rsidRPr="006A0D1F">
        <w:rPr>
          <w:i/>
        </w:rPr>
        <w:t xml:space="preserve">El Eco </w:t>
      </w:r>
      <w:r w:rsidR="000A407F">
        <w:t xml:space="preserve">como ineficaces para </w:t>
      </w:r>
      <w:r w:rsidR="00BE4A07" w:rsidRPr="006A0D1F">
        <w:t xml:space="preserve">la administración de </w:t>
      </w:r>
      <w:r w:rsidR="002D46B0" w:rsidRPr="006A0D1F">
        <w:t>justicia</w:t>
      </w:r>
      <w:r w:rsidR="00BE4A07" w:rsidRPr="006A0D1F">
        <w:t xml:space="preserve">. </w:t>
      </w:r>
      <w:r w:rsidR="001D36C1">
        <w:t>Para el editor este tipo de acciones eran</w:t>
      </w:r>
      <w:r w:rsidR="00BE4A07" w:rsidRPr="006A0D1F">
        <w:t>:</w:t>
      </w:r>
      <w:r w:rsidR="002D46B0" w:rsidRPr="006A0D1F">
        <w:t xml:space="preserve"> “</w:t>
      </w:r>
      <w:r w:rsidR="002D46B0" w:rsidRPr="006A0D1F">
        <w:rPr>
          <w:i/>
        </w:rPr>
        <w:t>actos de barbarie que pugna</w:t>
      </w:r>
      <w:r w:rsidR="00BE4A07" w:rsidRPr="006A0D1F">
        <w:rPr>
          <w:i/>
        </w:rPr>
        <w:t>n</w:t>
      </w:r>
      <w:r w:rsidR="002D46B0" w:rsidRPr="006A0D1F">
        <w:rPr>
          <w:i/>
        </w:rPr>
        <w:t xml:space="preserve"> contra los fueros de la ley y de la humanidad, nosotros como hijos y vecinos de esta localidad deseamos el esclarecimiento y castigo de aquellos actos tan repugnantes”.</w:t>
      </w:r>
      <w:r w:rsidR="00AF15DE">
        <w:rPr>
          <w:i/>
        </w:rPr>
        <w:t xml:space="preserve"> </w:t>
      </w:r>
    </w:p>
    <w:p w14:paraId="12A4DEDD" w14:textId="46CB1647" w:rsidR="0066016C" w:rsidRDefault="002D46B0" w:rsidP="00AF15DE">
      <w:pPr>
        <w:spacing w:line="480" w:lineRule="auto"/>
        <w:ind w:firstLine="708"/>
        <w:jc w:val="both"/>
        <w:rPr>
          <w:i/>
        </w:rPr>
      </w:pPr>
      <w:r w:rsidRPr="00AF15DE">
        <w:t>F</w:t>
      </w:r>
      <w:r w:rsidRPr="006A0D1F">
        <w:t>. Montes de Oca</w:t>
      </w:r>
      <w:r w:rsidRPr="006A0D1F">
        <w:rPr>
          <w:rStyle w:val="Refdenotaalpie"/>
        </w:rPr>
        <w:footnoteReference w:id="8"/>
      </w:r>
      <w:r w:rsidRPr="006A0D1F">
        <w:t xml:space="preserve"> y Manuel Tenreiro</w:t>
      </w:r>
      <w:r w:rsidR="004142D4">
        <w:t xml:space="preserve"> eran los redactores de </w:t>
      </w:r>
      <w:r w:rsidR="004142D4">
        <w:rPr>
          <w:i/>
        </w:rPr>
        <w:t xml:space="preserve">El Eco de la Sierra, </w:t>
      </w:r>
      <w:r w:rsidR="004142D4">
        <w:t xml:space="preserve">y enviaron </w:t>
      </w:r>
      <w:r w:rsidRPr="006A0D1F">
        <w:t xml:space="preserve">una carta a </w:t>
      </w:r>
      <w:r w:rsidRPr="006A0D1F">
        <w:rPr>
          <w:i/>
        </w:rPr>
        <w:t xml:space="preserve">El Eco </w:t>
      </w:r>
      <w:r w:rsidR="00F63D4A">
        <w:t xml:space="preserve">en donde denunciaban </w:t>
      </w:r>
      <w:r w:rsidR="00A138C9">
        <w:t>l</w:t>
      </w:r>
      <w:r w:rsidR="00BE4A07" w:rsidRPr="006A0D1F">
        <w:t xml:space="preserve">a </w:t>
      </w:r>
      <w:r w:rsidRPr="006A0D1F">
        <w:t>intervención del Estado para la aplicación de justicia</w:t>
      </w:r>
      <w:r w:rsidR="00F63D4A">
        <w:t>, y</w:t>
      </w:r>
      <w:r w:rsidR="00BE4A07" w:rsidRPr="006A0D1F">
        <w:t xml:space="preserve"> emitieron la siguiente sentencia</w:t>
      </w:r>
      <w:r w:rsidR="00491C6B">
        <w:t xml:space="preserve"> en la nota </w:t>
      </w:r>
      <w:r w:rsidR="00A138C9">
        <w:t>d</w:t>
      </w:r>
      <w:r w:rsidR="00491C6B">
        <w:t>el 10 de septiembre de 1890</w:t>
      </w:r>
      <w:r w:rsidRPr="006A0D1F">
        <w:t>: “</w:t>
      </w:r>
      <w:r w:rsidRPr="006A0D1F">
        <w:rPr>
          <w:i/>
        </w:rPr>
        <w:t>esta es la errónea herencia que tenemos de la esclavitud y de la crueldad que ejercen los hacendados sobre los humildes y sufridos jornaleros.</w:t>
      </w:r>
    </w:p>
    <w:p w14:paraId="65E52CA8" w14:textId="3B4302E3" w:rsidR="002D46B0" w:rsidRPr="00E523F1" w:rsidRDefault="003043EE" w:rsidP="00E523F1">
      <w:pPr>
        <w:pStyle w:val="Textoindependiente"/>
        <w:spacing w:line="480" w:lineRule="auto"/>
        <w:ind w:firstLine="708"/>
        <w:jc w:val="both"/>
        <w:rPr>
          <w:i/>
        </w:rPr>
      </w:pPr>
      <w:r>
        <w:t>Los días</w:t>
      </w:r>
      <w:r w:rsidR="00BE4A07" w:rsidRPr="006A0D1F">
        <w:t xml:space="preserve"> pasaba</w:t>
      </w:r>
      <w:r>
        <w:t>n</w:t>
      </w:r>
      <w:r w:rsidR="00BE4A07" w:rsidRPr="006A0D1F">
        <w:t xml:space="preserve"> y el crimen </w:t>
      </w:r>
      <w:r w:rsidR="0066016C">
        <w:t xml:space="preserve">de Tekax </w:t>
      </w:r>
      <w:r w:rsidR="00BE4A07" w:rsidRPr="006A0D1F">
        <w:t xml:space="preserve">no se esclarecía, </w:t>
      </w:r>
      <w:r w:rsidR="002D46B0" w:rsidRPr="006A0D1F">
        <w:rPr>
          <w:i/>
        </w:rPr>
        <w:t>El Eco</w:t>
      </w:r>
      <w:r w:rsidR="00C20CEF">
        <w:rPr>
          <w:i/>
        </w:rPr>
        <w:t xml:space="preserve"> </w:t>
      </w:r>
      <w:r w:rsidR="00C20CEF" w:rsidRPr="000A67B2">
        <w:t>publicó el día 13 de septiembre de 1890 que</w:t>
      </w:r>
      <w:r w:rsidR="002D46B0" w:rsidRPr="006A0D1F">
        <w:t>: “</w:t>
      </w:r>
      <w:r w:rsidR="002D46B0" w:rsidRPr="006A0D1F">
        <w:rPr>
          <w:i/>
        </w:rPr>
        <w:t>la autoridad Judicial del Departamento de Tekax guarda completa inacción en el asesinato de Silverio García”</w:t>
      </w:r>
      <w:r w:rsidR="00F71A02" w:rsidRPr="006A0D1F">
        <w:rPr>
          <w:i/>
        </w:rPr>
        <w:t>.</w:t>
      </w:r>
      <w:r w:rsidR="002D46B0" w:rsidRPr="006A0D1F">
        <w:rPr>
          <w:i/>
        </w:rPr>
        <w:t xml:space="preserve"> </w:t>
      </w:r>
      <w:r w:rsidR="002D46B0" w:rsidRPr="006A0D1F">
        <w:t>En esa misma publicación figuraba un escrito de F. Montes de Oca y Manuel Tenreiro M.</w:t>
      </w:r>
      <w:r w:rsidR="003E6C52" w:rsidRPr="006A0D1F">
        <w:t xml:space="preserve"> Ambos sostenía</w:t>
      </w:r>
      <w:r w:rsidR="001D36C1">
        <w:t>n</w:t>
      </w:r>
      <w:r w:rsidR="003E6C52" w:rsidRPr="006A0D1F">
        <w:t xml:space="preserve"> que los jornaleros eran </w:t>
      </w:r>
      <w:r w:rsidR="002D46B0" w:rsidRPr="006A0D1F">
        <w:t>“</w:t>
      </w:r>
      <w:r w:rsidR="003E6C52" w:rsidRPr="006A0D1F">
        <w:rPr>
          <w:i/>
        </w:rPr>
        <w:t xml:space="preserve">tratados de forma </w:t>
      </w:r>
      <w:r w:rsidR="002D46B0" w:rsidRPr="006A0D1F">
        <w:rPr>
          <w:i/>
        </w:rPr>
        <w:t>inhumana y tiránica</w:t>
      </w:r>
      <w:r w:rsidR="001D36C1">
        <w:rPr>
          <w:i/>
        </w:rPr>
        <w:t xml:space="preserve">, </w:t>
      </w:r>
      <w:r w:rsidR="002D46B0" w:rsidRPr="006A0D1F">
        <w:rPr>
          <w:i/>
        </w:rPr>
        <w:t xml:space="preserve">condenan y rechazan con toda energía a los que son capaces de estos actos de barbarie que pugnan contra los fueros de la ley y de la humanidad”. </w:t>
      </w:r>
      <w:r w:rsidR="0066016C">
        <w:t>Y a</w:t>
      </w:r>
      <w:r w:rsidR="002D46B0" w:rsidRPr="006A0D1F">
        <w:t>segura</w:t>
      </w:r>
      <w:r w:rsidR="00C20CEF">
        <w:t>ba</w:t>
      </w:r>
      <w:r w:rsidR="002D46B0" w:rsidRPr="006A0D1F">
        <w:t>n que “</w:t>
      </w:r>
      <w:r w:rsidR="002D46B0" w:rsidRPr="006A0D1F">
        <w:rPr>
          <w:i/>
        </w:rPr>
        <w:t>la sociedad ha llegado a un grado tal de desmoralización y desenfreno que mira con indiferencia los ataques más cínicos a la inviolabilidad humana</w:t>
      </w:r>
      <w:r w:rsidR="003E6C52" w:rsidRPr="006A0D1F">
        <w:rPr>
          <w:i/>
        </w:rPr>
        <w:t>.</w:t>
      </w:r>
      <w:r w:rsidR="002D46B0" w:rsidRPr="006A0D1F">
        <w:rPr>
          <w:i/>
        </w:rPr>
        <w:t>”</w:t>
      </w:r>
      <w:r w:rsidR="0066016C" w:rsidRPr="0066016C">
        <w:t xml:space="preserve"> </w:t>
      </w:r>
      <w:r w:rsidR="0066016C">
        <w:t>Con lo</w:t>
      </w:r>
      <w:r w:rsidR="0066016C" w:rsidRPr="006A0D1F">
        <w:t xml:space="preserve"> anterior </w:t>
      </w:r>
      <w:r w:rsidR="0066016C">
        <w:t>la publicación pretendía</w:t>
      </w:r>
      <w:r w:rsidR="0066016C" w:rsidRPr="006A0D1F">
        <w:t xml:space="preserve"> demostrar la injusticia </w:t>
      </w:r>
      <w:r w:rsidR="00414596">
        <w:t>sobre</w:t>
      </w:r>
      <w:r w:rsidR="00414596" w:rsidRPr="006A0D1F">
        <w:t xml:space="preserve"> </w:t>
      </w:r>
      <w:r w:rsidR="00F05ECE">
        <w:t xml:space="preserve">el caso de </w:t>
      </w:r>
      <w:r w:rsidR="0066016C" w:rsidRPr="006A0D1F">
        <w:t>Tekax</w:t>
      </w:r>
      <w:r w:rsidR="0066016C">
        <w:t xml:space="preserve"> y </w:t>
      </w:r>
      <w:r w:rsidR="0066016C" w:rsidRPr="006A0D1F">
        <w:t xml:space="preserve">los abusos </w:t>
      </w:r>
      <w:r w:rsidR="00414596">
        <w:t xml:space="preserve">constantes </w:t>
      </w:r>
      <w:r w:rsidR="0066016C" w:rsidRPr="006A0D1F">
        <w:t>sobre los jornaleros.</w:t>
      </w:r>
    </w:p>
    <w:p w14:paraId="25DD5933" w14:textId="6FCD6720" w:rsidR="002D46B0" w:rsidRDefault="003E6C52" w:rsidP="0066016C">
      <w:pPr>
        <w:spacing w:line="480" w:lineRule="auto"/>
        <w:ind w:firstLine="708"/>
        <w:jc w:val="both"/>
      </w:pPr>
      <w:r w:rsidRPr="006A0D1F">
        <w:t xml:space="preserve">La </w:t>
      </w:r>
      <w:r w:rsidR="003043EE">
        <w:t>nota roja y crítica periodística</w:t>
      </w:r>
      <w:r w:rsidRPr="006A0D1F">
        <w:t xml:space="preserve"> traspasó las fronteras de Yucatán</w:t>
      </w:r>
      <w:r w:rsidR="00D85A52">
        <w:t xml:space="preserve">, </w:t>
      </w:r>
      <w:r w:rsidR="00C20CEF">
        <w:t xml:space="preserve"> </w:t>
      </w:r>
      <w:r w:rsidR="00C20CEF" w:rsidRPr="000A67B2">
        <w:rPr>
          <w:i/>
        </w:rPr>
        <w:t>El Eco</w:t>
      </w:r>
      <w:r w:rsidR="00C20CEF">
        <w:t xml:space="preserve"> reportó en la nota del 13 de septiembre</w:t>
      </w:r>
      <w:r w:rsidR="00D85A52">
        <w:t xml:space="preserve"> que </w:t>
      </w:r>
      <w:r w:rsidR="002D46B0" w:rsidRPr="006A0D1F">
        <w:rPr>
          <w:i/>
        </w:rPr>
        <w:t>El Metropolitano</w:t>
      </w:r>
      <w:r w:rsidR="002D46B0" w:rsidRPr="006A0D1F">
        <w:t xml:space="preserve"> </w:t>
      </w:r>
      <w:r w:rsidRPr="006A0D1F">
        <w:t xml:space="preserve">del Distrito Federal </w:t>
      </w:r>
      <w:r w:rsidR="002D46B0" w:rsidRPr="006A0D1F">
        <w:t>publicó</w:t>
      </w:r>
      <w:r w:rsidR="00514199" w:rsidRPr="006A0D1F">
        <w:t>,</w:t>
      </w:r>
      <w:r w:rsidR="002D46B0" w:rsidRPr="006A0D1F">
        <w:t xml:space="preserve"> en su número 2099 del 31 de agosto</w:t>
      </w:r>
      <w:r w:rsidR="0066016C">
        <w:t xml:space="preserve"> de 1890</w:t>
      </w:r>
      <w:r w:rsidR="00514199" w:rsidRPr="006A0D1F">
        <w:t>, parte de los sucesos de</w:t>
      </w:r>
      <w:r w:rsidR="00D85A52">
        <w:t xml:space="preserve">l asesinato </w:t>
      </w:r>
      <w:r w:rsidR="00514199" w:rsidRPr="006A0D1F">
        <w:t xml:space="preserve">de </w:t>
      </w:r>
      <w:r w:rsidR="002D46B0" w:rsidRPr="006A0D1F">
        <w:t>Silverio García. Desde luego tenían el conocimiento y hasta cartas de relatos de tratos similares a los trabajadores. “</w:t>
      </w:r>
      <w:r w:rsidR="002D46B0" w:rsidRPr="006A0D1F">
        <w:rPr>
          <w:i/>
        </w:rPr>
        <w:t xml:space="preserve">Se trata de un hacendado que por un fusil </w:t>
      </w:r>
      <w:r w:rsidR="0066016C">
        <w:rPr>
          <w:i/>
        </w:rPr>
        <w:t>[sic]</w:t>
      </w:r>
      <w:r w:rsidR="002D46B0" w:rsidRPr="006A0D1F">
        <w:rPr>
          <w:i/>
        </w:rPr>
        <w:t xml:space="preserve"> pretexto castigó a varios de sus trabajadores de su hacienda de caña, sólo porque no se conformaban con el jornal que se les tenía asignado”. </w:t>
      </w:r>
      <w:r w:rsidR="00D85A52">
        <w:t>Los periódicos capitalinos presentaban a los hacendados como tiranos y déspotas frente a la opinión pública</w:t>
      </w:r>
      <w:r w:rsidR="004E0461">
        <w:t xml:space="preserve">, lo cual puede verificarse con la siguiente afirmación: </w:t>
      </w:r>
      <w:r w:rsidR="00EA3473" w:rsidRPr="006A0D1F">
        <w:t>“</w:t>
      </w:r>
      <w:r w:rsidR="00EA3473" w:rsidRPr="006A0D1F">
        <w:rPr>
          <w:i/>
        </w:rPr>
        <w:t xml:space="preserve">existe la costumbre de tratar </w:t>
      </w:r>
      <w:r w:rsidR="002D46B0" w:rsidRPr="006A0D1F">
        <w:rPr>
          <w:i/>
        </w:rPr>
        <w:t>a sus criados peor que animales”.</w:t>
      </w:r>
      <w:r w:rsidR="00EA3473" w:rsidRPr="006A0D1F">
        <w:t xml:space="preserve"> </w:t>
      </w:r>
    </w:p>
    <w:p w14:paraId="5C911279" w14:textId="573DC45A" w:rsidR="00C20CEF" w:rsidRDefault="00B66523" w:rsidP="00B66523">
      <w:pPr>
        <w:spacing w:line="480" w:lineRule="auto"/>
        <w:ind w:firstLine="708"/>
        <w:jc w:val="both"/>
        <w:rPr>
          <w:i/>
        </w:rPr>
      </w:pPr>
      <w:r w:rsidRPr="000A67B2">
        <w:rPr>
          <w:i/>
        </w:rPr>
        <w:t>El Eco</w:t>
      </w:r>
      <w:r>
        <w:t xml:space="preserve"> </w:t>
      </w:r>
      <w:r w:rsidR="00C20CEF">
        <w:t>también</w:t>
      </w:r>
      <w:r>
        <w:t xml:space="preserve"> advirtió</w:t>
      </w:r>
      <w:r w:rsidRPr="006A0D1F">
        <w:t xml:space="preserve"> que periódicos metropolitanos</w:t>
      </w:r>
      <w:r>
        <w:t xml:space="preserve">, como </w:t>
      </w:r>
      <w:r>
        <w:rPr>
          <w:i/>
        </w:rPr>
        <w:t>El País,</w:t>
      </w:r>
      <w:r w:rsidRPr="006A0D1F">
        <w:t xml:space="preserve"> daban a conocer este tipo de hechos atrayendo la mirada de reprobación sobre Yucatán al afirmar que en sus </w:t>
      </w:r>
      <w:r w:rsidR="003043EE">
        <w:t>haciendas</w:t>
      </w:r>
      <w:r w:rsidRPr="006A0D1F">
        <w:t>: “</w:t>
      </w:r>
      <w:r w:rsidRPr="006A0D1F">
        <w:rPr>
          <w:i/>
        </w:rPr>
        <w:t xml:space="preserve">son maltratados los sirvientes y que D. Fulano o D. Sótano sean hombres crueles, no se puede seguir así”. </w:t>
      </w:r>
      <w:r>
        <w:t xml:space="preserve">Tras las denuncias </w:t>
      </w:r>
      <w:r w:rsidRPr="006A0D1F">
        <w:t xml:space="preserve">de </w:t>
      </w:r>
      <w:r w:rsidRPr="006A0D1F">
        <w:rPr>
          <w:i/>
        </w:rPr>
        <w:t xml:space="preserve">El Eco </w:t>
      </w:r>
      <w:r>
        <w:t xml:space="preserve">se removió de su cargo </w:t>
      </w:r>
      <w:r w:rsidR="00237267">
        <w:t xml:space="preserve">como </w:t>
      </w:r>
      <w:r w:rsidR="00237267" w:rsidRPr="006A0D1F">
        <w:t>Secretario del Juzgado</w:t>
      </w:r>
      <w:r w:rsidR="00237267">
        <w:t xml:space="preserve"> </w:t>
      </w:r>
      <w:r>
        <w:t>a Sixto Hercila</w:t>
      </w:r>
      <w:r w:rsidRPr="006A0D1F">
        <w:rPr>
          <w:i/>
        </w:rPr>
        <w:t xml:space="preserve">. </w:t>
      </w:r>
    </w:p>
    <w:p w14:paraId="3B3D2FE3" w14:textId="77A29FF6" w:rsidR="002D46B0" w:rsidRPr="006A0D1F" w:rsidRDefault="00B66523" w:rsidP="00F05345">
      <w:pPr>
        <w:spacing w:line="480" w:lineRule="auto"/>
        <w:ind w:firstLine="708"/>
        <w:jc w:val="both"/>
      </w:pPr>
      <w:r w:rsidRPr="006A0D1F">
        <w:t xml:space="preserve">El 23 de septiembre de 1890 se mencionó que Valerio Fuentes y Miguel Araujo fueron detenidos, </w:t>
      </w:r>
      <w:r w:rsidR="00237267">
        <w:t>indicando que</w:t>
      </w:r>
      <w:r>
        <w:t>:</w:t>
      </w:r>
      <w:r w:rsidRPr="006A0D1F">
        <w:t xml:space="preserve"> “</w:t>
      </w:r>
      <w:r w:rsidRPr="006A0D1F">
        <w:rPr>
          <w:i/>
        </w:rPr>
        <w:t>ya hay inicios de cumplir con la justicia”.</w:t>
      </w:r>
      <w:r w:rsidR="003528A9">
        <w:t xml:space="preserve"> En una carta p</w:t>
      </w:r>
      <w:r w:rsidR="00701106">
        <w:t>ublicada con la misma fecha se</w:t>
      </w:r>
      <w:r w:rsidR="003528A9">
        <w:t xml:space="preserve"> pidió cateos en las fincas del Sr. Cirerol, </w:t>
      </w:r>
      <w:r w:rsidR="001208BD">
        <w:t>enunciando</w:t>
      </w:r>
      <w:r w:rsidR="003528A9">
        <w:t xml:space="preserve"> lo siguiente: “</w:t>
      </w:r>
      <w:r w:rsidR="002D46B0" w:rsidRPr="006A0D1F">
        <w:rPr>
          <w:i/>
        </w:rPr>
        <w:t>desmoraliza</w:t>
      </w:r>
      <w:r w:rsidR="001071F3" w:rsidRPr="006A0D1F">
        <w:rPr>
          <w:i/>
        </w:rPr>
        <w:t xml:space="preserve">, </w:t>
      </w:r>
      <w:r w:rsidR="002D46B0" w:rsidRPr="006A0D1F">
        <w:rPr>
          <w:i/>
        </w:rPr>
        <w:t>mantener a sus sirvientes en la ignorancia de sus derechos y de las autoridades que están colocadas para resolverlo</w:t>
      </w:r>
      <w:r>
        <w:rPr>
          <w:i/>
        </w:rPr>
        <w:t xml:space="preserve">, </w:t>
      </w:r>
      <w:r w:rsidR="002D46B0" w:rsidRPr="006A0D1F">
        <w:rPr>
          <w:i/>
        </w:rPr>
        <w:t>creemos que es nuestro deber llamar la atención sobre la conducta del Juez de Tekax</w:t>
      </w:r>
      <w:r w:rsidR="001071F3" w:rsidRPr="006A0D1F">
        <w:rPr>
          <w:i/>
        </w:rPr>
        <w:t xml:space="preserve">,” </w:t>
      </w:r>
      <w:r w:rsidR="001071F3" w:rsidRPr="006A0D1F">
        <w:t>y afirmó que dieron a conocer la declaración de Ku para despertar a la opinión pública.</w:t>
      </w:r>
      <w:r w:rsidR="00661D9E" w:rsidRPr="006A0D1F">
        <w:t xml:space="preserve"> </w:t>
      </w:r>
      <w:r w:rsidR="002D46B0" w:rsidRPr="006A0D1F">
        <w:rPr>
          <w:i/>
        </w:rPr>
        <w:t xml:space="preserve">El Eco </w:t>
      </w:r>
      <w:r w:rsidR="002D46B0" w:rsidRPr="006A0D1F">
        <w:t xml:space="preserve">mantenía </w:t>
      </w:r>
      <w:r w:rsidR="00C20CEF">
        <w:t xml:space="preserve">su postura </w:t>
      </w:r>
      <w:r w:rsidR="00661D9E" w:rsidRPr="006A0D1F">
        <w:t>p</w:t>
      </w:r>
      <w:r w:rsidR="003528A9">
        <w:t>idi</w:t>
      </w:r>
      <w:r w:rsidR="00661D9E" w:rsidRPr="006A0D1F">
        <w:t>e</w:t>
      </w:r>
      <w:r w:rsidR="003528A9">
        <w:t xml:space="preserve">ndo </w:t>
      </w:r>
      <w:r>
        <w:t>c</w:t>
      </w:r>
      <w:r w:rsidR="00661D9E" w:rsidRPr="006A0D1F">
        <w:t>árcel para los homicidas</w:t>
      </w:r>
      <w:r w:rsidR="003949B3">
        <w:t xml:space="preserve"> al presionar </w:t>
      </w:r>
      <w:r w:rsidR="002D46B0" w:rsidRPr="006A0D1F">
        <w:t>al Juez primero de Tekax</w:t>
      </w:r>
      <w:r w:rsidR="00661D9E" w:rsidRPr="006A0D1F">
        <w:t xml:space="preserve"> </w:t>
      </w:r>
      <w:r w:rsidR="003528A9">
        <w:t xml:space="preserve">a </w:t>
      </w:r>
      <w:r w:rsidR="00661D9E" w:rsidRPr="006A0D1F">
        <w:t>cumplir con su labor.</w:t>
      </w:r>
    </w:p>
    <w:p w14:paraId="011E3FF6" w14:textId="35245AB4" w:rsidR="002D46B0" w:rsidRPr="006A0D1F" w:rsidRDefault="00142A7C" w:rsidP="006A0D1F">
      <w:pPr>
        <w:spacing w:line="480" w:lineRule="auto"/>
        <w:ind w:firstLine="708"/>
        <w:jc w:val="both"/>
      </w:pPr>
      <w:r w:rsidRPr="006A0D1F">
        <w:t xml:space="preserve">Ante </w:t>
      </w:r>
      <w:r w:rsidR="002D46B0" w:rsidRPr="006A0D1F">
        <w:t>todo lo sucedido en Tekax</w:t>
      </w:r>
      <w:r w:rsidRPr="006A0D1F">
        <w:t>,</w:t>
      </w:r>
      <w:r w:rsidR="002D46B0" w:rsidRPr="006A0D1F">
        <w:t xml:space="preserve"> </w:t>
      </w:r>
      <w:r w:rsidR="002D46B0" w:rsidRPr="006A0D1F">
        <w:rPr>
          <w:i/>
        </w:rPr>
        <w:t xml:space="preserve">El Eco </w:t>
      </w:r>
      <w:r w:rsidR="002D46B0" w:rsidRPr="006A0D1F">
        <w:t>fu</w:t>
      </w:r>
      <w:r w:rsidRPr="006A0D1F">
        <w:t>e</w:t>
      </w:r>
      <w:r w:rsidR="002D46B0" w:rsidRPr="006A0D1F">
        <w:t xml:space="preserve"> el único medio </w:t>
      </w:r>
      <w:r w:rsidRPr="006A0D1F">
        <w:t>que difundió este hecho</w:t>
      </w:r>
      <w:r w:rsidR="00BA6958">
        <w:t xml:space="preserve"> de manera amplía</w:t>
      </w:r>
      <w:r w:rsidRPr="006A0D1F">
        <w:t xml:space="preserve">. Sin embargo, </w:t>
      </w:r>
      <w:r w:rsidR="002D46B0" w:rsidRPr="006A0D1F">
        <w:rPr>
          <w:i/>
        </w:rPr>
        <w:t>La Revista</w:t>
      </w:r>
      <w:r w:rsidR="002D46B0" w:rsidRPr="006A0D1F">
        <w:t xml:space="preserve"> </w:t>
      </w:r>
      <w:r w:rsidRPr="006A0D1F">
        <w:t xml:space="preserve">publicó </w:t>
      </w:r>
      <w:r w:rsidR="002D46B0" w:rsidRPr="006A0D1F">
        <w:t>el 23 de septiembre de 1890</w:t>
      </w:r>
      <w:r w:rsidRPr="006A0D1F">
        <w:t xml:space="preserve"> </w:t>
      </w:r>
      <w:r w:rsidR="002D46B0" w:rsidRPr="006A0D1F">
        <w:t xml:space="preserve">una carta </w:t>
      </w:r>
      <w:r w:rsidR="002624BB">
        <w:t>de</w:t>
      </w:r>
      <w:r w:rsidR="002D46B0" w:rsidRPr="006A0D1F">
        <w:t>l Juez de Tekax</w:t>
      </w:r>
      <w:r w:rsidRPr="006A0D1F">
        <w:t>,</w:t>
      </w:r>
      <w:r w:rsidR="002D46B0" w:rsidRPr="006A0D1F">
        <w:t xml:space="preserve"> Licenciado Dionisio González</w:t>
      </w:r>
      <w:r w:rsidRPr="006A0D1F">
        <w:t xml:space="preserve">, </w:t>
      </w:r>
      <w:r w:rsidR="00E93A71" w:rsidRPr="006A0D1F">
        <w:t>con f</w:t>
      </w:r>
      <w:r w:rsidR="002D46B0" w:rsidRPr="006A0D1F">
        <w:t>echa 18 de septiembre del mismo año</w:t>
      </w:r>
      <w:r w:rsidR="00E93A71" w:rsidRPr="006A0D1F">
        <w:t xml:space="preserve"> en donde </w:t>
      </w:r>
      <w:r w:rsidR="002624BB" w:rsidRPr="006A0D1F">
        <w:t>decía</w:t>
      </w:r>
      <w:r w:rsidR="00E93A71" w:rsidRPr="006A0D1F">
        <w:t xml:space="preserve">: </w:t>
      </w:r>
      <w:r w:rsidR="002D46B0" w:rsidRPr="006A0D1F">
        <w:t>“</w:t>
      </w:r>
      <w:r w:rsidR="002D46B0" w:rsidRPr="006A0D1F">
        <w:rPr>
          <w:i/>
        </w:rPr>
        <w:t xml:space="preserve">he tenido que guardar silencio respecto de los ataques repetidos que me dirige la redacción de El Eco con motivo de las diligencias que practica el Juzgado de primera instancia de mi cargo para averiguar quiénes son los autores del homicidio en la persona de Silverio García, atribuyéndome indiferencia, debilidad y torpeza en la tramitación de ellas”. </w:t>
      </w:r>
      <w:r w:rsidR="002D46B0" w:rsidRPr="006A0D1F">
        <w:t xml:space="preserve">En líneas posteriores </w:t>
      </w:r>
      <w:r w:rsidR="00E93A71" w:rsidRPr="006A0D1F">
        <w:t>justificó su actuación aludiendo que su proceder se apegaba al protocolo del sumario vigente: “</w:t>
      </w:r>
      <w:r w:rsidR="002D46B0" w:rsidRPr="006A0D1F">
        <w:rPr>
          <w:i/>
        </w:rPr>
        <w:t xml:space="preserve">tengo que suplicar a la sociedad que por ahora suspenda su juicio y no pronuncie fallo alguno hasta que pueda fundarlo en el conocimiento de la causa, y a la redacción de El Eco y a cualquier otro periódico que se ocupe del asunto que omita publicar datos y declaraciones, que aún en el supuesto de que sean verídicas producen el grave perjuicio de prevenir a los criminales y suscitar dificultades en la tramitación de la causa y aprehensión de los culpables”. </w:t>
      </w:r>
    </w:p>
    <w:p w14:paraId="00886AB5" w14:textId="5114A051" w:rsidR="002D46B0" w:rsidRPr="006A0D1F" w:rsidRDefault="00E81933" w:rsidP="006A0D1F">
      <w:pPr>
        <w:spacing w:line="480" w:lineRule="auto"/>
        <w:ind w:firstLine="708"/>
        <w:jc w:val="both"/>
        <w:rPr>
          <w:i/>
        </w:rPr>
      </w:pPr>
      <w:r w:rsidRPr="006A0D1F">
        <w:t xml:space="preserve">A pesar de </w:t>
      </w:r>
      <w:r w:rsidR="00F05ECE">
        <w:t xml:space="preserve">esa </w:t>
      </w:r>
      <w:r w:rsidRPr="006A0D1F">
        <w:t>publicación</w:t>
      </w:r>
      <w:r w:rsidR="00F05ECE">
        <w:t>,</w:t>
      </w:r>
      <w:r w:rsidRPr="006A0D1F">
        <w:t xml:space="preserve"> </w:t>
      </w:r>
      <w:r w:rsidRPr="006A0D1F">
        <w:rPr>
          <w:i/>
        </w:rPr>
        <w:t xml:space="preserve">El Eco </w:t>
      </w:r>
      <w:r w:rsidR="00AF15DE" w:rsidRPr="00F81679">
        <w:t>siguió</w:t>
      </w:r>
      <w:r w:rsidRPr="00AF15DE">
        <w:t xml:space="preserve"> </w:t>
      </w:r>
      <w:r w:rsidR="002F06DC">
        <w:t xml:space="preserve">informando </w:t>
      </w:r>
      <w:r w:rsidR="002D46B0" w:rsidRPr="006A0D1F">
        <w:t>en torno al</w:t>
      </w:r>
      <w:r w:rsidR="00F05ECE">
        <w:t xml:space="preserve"> c</w:t>
      </w:r>
      <w:r w:rsidR="00AF15DE">
        <w:t>r</w:t>
      </w:r>
      <w:r w:rsidR="00F05ECE">
        <w:t xml:space="preserve">imen de Tekax </w:t>
      </w:r>
      <w:r w:rsidR="002D46B0" w:rsidRPr="006A0D1F">
        <w:t xml:space="preserve">y </w:t>
      </w:r>
      <w:r w:rsidR="00701106">
        <w:t xml:space="preserve">pidiendo el castigo de </w:t>
      </w:r>
      <w:r w:rsidR="002D46B0" w:rsidRPr="006A0D1F">
        <w:t>los responsables</w:t>
      </w:r>
      <w:r w:rsidR="00237267">
        <w:t>. En el número de</w:t>
      </w:r>
      <w:r w:rsidR="00701106">
        <w:t>l 27 de septiembre de 1890, y dijo que</w:t>
      </w:r>
      <w:r w:rsidR="002D46B0" w:rsidRPr="006A0D1F">
        <w:t xml:space="preserve"> no bastaba con detener a Araujo y Fuentes, pues Calderón, un tal “Español”, Manuel Sosa y Timoteo Paredes continuaban libres del peso de la justicia</w:t>
      </w:r>
      <w:r w:rsidR="00F05ECE">
        <w:t>. T</w:t>
      </w:r>
      <w:r w:rsidRPr="006A0D1F">
        <w:t xml:space="preserve">ambién criticó la flagelación </w:t>
      </w:r>
      <w:r w:rsidR="002F06DC">
        <w:t xml:space="preserve">dada </w:t>
      </w:r>
      <w:r w:rsidR="001A7F1F">
        <w:t>a</w:t>
      </w:r>
      <w:r w:rsidR="001A7F1F" w:rsidRPr="006A0D1F">
        <w:t xml:space="preserve"> Pedro</w:t>
      </w:r>
      <w:r w:rsidRPr="006A0D1F">
        <w:t xml:space="preserve"> Chim, por haber huido de la </w:t>
      </w:r>
      <w:r w:rsidR="00237267">
        <w:t>hacienda</w:t>
      </w:r>
      <w:r w:rsidR="00237267" w:rsidRPr="006A0D1F">
        <w:t xml:space="preserve"> </w:t>
      </w:r>
      <w:r w:rsidRPr="006A0D1F">
        <w:t>Catmís, qu</w:t>
      </w:r>
      <w:r w:rsidR="002F06DC">
        <w:t>ien</w:t>
      </w:r>
      <w:r w:rsidRPr="006A0D1F">
        <w:t xml:space="preserve"> eventualmente </w:t>
      </w:r>
      <w:r w:rsidR="002F06DC">
        <w:t>falleció por las heridas</w:t>
      </w:r>
      <w:r w:rsidR="002D46B0" w:rsidRPr="006A0D1F">
        <w:t>: “</w:t>
      </w:r>
      <w:r w:rsidR="002D46B0" w:rsidRPr="006A0D1F">
        <w:rPr>
          <w:i/>
        </w:rPr>
        <w:t>no parece intencional esta inercia de la autoridad pues que permite el tiempo para que los autores de las flagelaciones de San Antonio y Catmís hagan borrar y desaparecer las hue</w:t>
      </w:r>
      <w:r w:rsidRPr="006A0D1F">
        <w:rPr>
          <w:i/>
        </w:rPr>
        <w:t>llas de su atroz crueldad.”</w:t>
      </w:r>
    </w:p>
    <w:p w14:paraId="0C7246EC" w14:textId="7E525237" w:rsidR="002D46B0" w:rsidRPr="006A0D1F" w:rsidRDefault="002D46B0" w:rsidP="006A0D1F">
      <w:pPr>
        <w:spacing w:line="480" w:lineRule="auto"/>
        <w:ind w:firstLine="708"/>
        <w:jc w:val="both"/>
      </w:pPr>
      <w:r w:rsidRPr="00AF15DE">
        <w:t>Por otra parte</w:t>
      </w:r>
      <w:r w:rsidR="002F06DC">
        <w:t>,</w:t>
      </w:r>
      <w:r w:rsidRPr="00AF15DE">
        <w:t xml:space="preserve"> </w:t>
      </w:r>
      <w:r w:rsidRPr="00AF15DE">
        <w:rPr>
          <w:i/>
        </w:rPr>
        <w:t>La Razón Católica</w:t>
      </w:r>
      <w:r w:rsidRPr="00AF15DE">
        <w:rPr>
          <w:rStyle w:val="Refdenotaalpie"/>
        </w:rPr>
        <w:footnoteReference w:id="9"/>
      </w:r>
      <w:r w:rsidRPr="00AF15DE">
        <w:t xml:space="preserve"> </w:t>
      </w:r>
      <w:r w:rsidR="00701106">
        <w:t xml:space="preserve">el 27 de septiembre de 1890 </w:t>
      </w:r>
      <w:r w:rsidRPr="00AF15DE">
        <w:t xml:space="preserve">en </w:t>
      </w:r>
      <w:r w:rsidR="002F06DC">
        <w:t xml:space="preserve">el </w:t>
      </w:r>
      <w:r w:rsidRPr="00AF15DE">
        <w:t>artículo “</w:t>
      </w:r>
      <w:r w:rsidRPr="00AF15DE">
        <w:rPr>
          <w:i/>
        </w:rPr>
        <w:t>Silverio García”</w:t>
      </w:r>
      <w:r w:rsidR="002F06DC">
        <w:rPr>
          <w:i/>
        </w:rPr>
        <w:t xml:space="preserve">, </w:t>
      </w:r>
      <w:r w:rsidR="002F06DC">
        <w:t xml:space="preserve">de </w:t>
      </w:r>
      <w:r w:rsidRPr="00AF15DE">
        <w:t xml:space="preserve">D. Juan F. Molina Solís, </w:t>
      </w:r>
      <w:r w:rsidR="002F06DC">
        <w:t xml:space="preserve">llamó la atención sobre </w:t>
      </w:r>
      <w:r w:rsidR="00E81933" w:rsidRPr="00AF15DE">
        <w:t xml:space="preserve">las </w:t>
      </w:r>
      <w:r w:rsidR="002F06DC">
        <w:t xml:space="preserve">aseveraciones </w:t>
      </w:r>
      <w:r w:rsidR="002F06DC" w:rsidRPr="00AF15DE">
        <w:t>que</w:t>
      </w:r>
      <w:r w:rsidR="00E81933" w:rsidRPr="00AF15DE">
        <w:t xml:space="preserve"> se hacían </w:t>
      </w:r>
      <w:r w:rsidRPr="00AF15DE">
        <w:t>contra los hacendados yucatecos</w:t>
      </w:r>
      <w:r w:rsidR="002F06DC">
        <w:t xml:space="preserve"> diciendo que podrían ser calumnias</w:t>
      </w:r>
      <w:r w:rsidR="00E81933" w:rsidRPr="00AF15DE">
        <w:t>. El tono del escrito no contradi</w:t>
      </w:r>
      <w:r w:rsidR="00237267">
        <w:t>jó al</w:t>
      </w:r>
      <w:r w:rsidR="00E81933" w:rsidRPr="00AF15DE">
        <w:t xml:space="preserve"> </w:t>
      </w:r>
      <w:r w:rsidRPr="00AF15DE">
        <w:rPr>
          <w:i/>
        </w:rPr>
        <w:t>El Eco</w:t>
      </w:r>
      <w:r w:rsidR="002F06DC">
        <w:rPr>
          <w:i/>
        </w:rPr>
        <w:t>,</w:t>
      </w:r>
      <w:r w:rsidR="00E81933" w:rsidRPr="00AF15DE">
        <w:t xml:space="preserve"> </w:t>
      </w:r>
      <w:r w:rsidR="00FA4C96">
        <w:t>hasta</w:t>
      </w:r>
      <w:r w:rsidR="00237267">
        <w:t xml:space="preserve"> </w:t>
      </w:r>
      <w:r w:rsidR="002F06DC">
        <w:t>el</w:t>
      </w:r>
      <w:r w:rsidR="00237267">
        <w:t>ogió</w:t>
      </w:r>
      <w:r w:rsidR="002F06DC">
        <w:t xml:space="preserve"> </w:t>
      </w:r>
      <w:r w:rsidR="00237267">
        <w:t>la cobertura noticiosa</w:t>
      </w:r>
      <w:r w:rsidR="002F06DC">
        <w:t>, pero exhortó al esclarecimiento de</w:t>
      </w:r>
      <w:r w:rsidR="00E81933" w:rsidRPr="00AF15DE">
        <w:t xml:space="preserve"> los hechos para evitar </w:t>
      </w:r>
      <w:r w:rsidR="002F06DC">
        <w:t xml:space="preserve">que se etiquete públicamente a </w:t>
      </w:r>
      <w:r w:rsidR="00E81933" w:rsidRPr="00AF15DE">
        <w:t>los hacendados como esclavistas.</w:t>
      </w:r>
      <w:r w:rsidR="00E81933" w:rsidRPr="006A0D1F">
        <w:t xml:space="preserve"> </w:t>
      </w:r>
    </w:p>
    <w:p w14:paraId="00D60AE8" w14:textId="754F6898" w:rsidR="00701106" w:rsidRDefault="002D46B0" w:rsidP="008E51F2">
      <w:pPr>
        <w:spacing w:line="480" w:lineRule="auto"/>
        <w:ind w:firstLine="708"/>
        <w:jc w:val="both"/>
        <w:rPr>
          <w:i/>
        </w:rPr>
      </w:pPr>
      <w:r w:rsidRPr="006A0D1F">
        <w:rPr>
          <w:i/>
        </w:rPr>
        <w:t xml:space="preserve">La Revista </w:t>
      </w:r>
      <w:r w:rsidR="00685C90" w:rsidRPr="006A0D1F">
        <w:t>retomó los sucesos de “</w:t>
      </w:r>
      <w:r w:rsidR="00685C90" w:rsidRPr="006A0D1F">
        <w:rPr>
          <w:i/>
        </w:rPr>
        <w:t xml:space="preserve">El crimen de Tekax” </w:t>
      </w:r>
      <w:r w:rsidR="00685C90" w:rsidRPr="006A0D1F">
        <w:t xml:space="preserve">en una nota </w:t>
      </w:r>
      <w:r w:rsidRPr="006A0D1F">
        <w:t>del 5 de octubre de 1890</w:t>
      </w:r>
      <w:r w:rsidR="00CA199F">
        <w:t>, p</w:t>
      </w:r>
      <w:r w:rsidR="00685C90" w:rsidRPr="006A0D1F">
        <w:t>edía al “</w:t>
      </w:r>
      <w:r w:rsidRPr="006A0D1F">
        <w:rPr>
          <w:i/>
        </w:rPr>
        <w:t xml:space="preserve">mentado periódico” </w:t>
      </w:r>
      <w:r w:rsidRPr="006A0D1F">
        <w:t>(</w:t>
      </w:r>
      <w:r w:rsidRPr="00192B3D">
        <w:rPr>
          <w:i/>
        </w:rPr>
        <w:t>El Eco</w:t>
      </w:r>
      <w:r w:rsidRPr="006A0D1F">
        <w:t>)</w:t>
      </w:r>
      <w:r w:rsidRPr="006A0D1F">
        <w:rPr>
          <w:i/>
        </w:rPr>
        <w:t xml:space="preserve"> </w:t>
      </w:r>
      <w:r w:rsidR="00685C90" w:rsidRPr="006A0D1F">
        <w:t xml:space="preserve">que </w:t>
      </w:r>
      <w:r w:rsidRPr="006A0D1F">
        <w:t xml:space="preserve">dejara de publicar datos </w:t>
      </w:r>
      <w:r w:rsidR="00370850" w:rsidRPr="006A0D1F">
        <w:t>d</w:t>
      </w:r>
      <w:r w:rsidRPr="006A0D1F">
        <w:t>el crimen</w:t>
      </w:r>
      <w:r w:rsidR="00192B3D">
        <w:t xml:space="preserve">, y exigió </w:t>
      </w:r>
      <w:r w:rsidR="00370850" w:rsidRPr="006A0D1F">
        <w:t xml:space="preserve">que </w:t>
      </w:r>
      <w:r w:rsidRPr="006A0D1F">
        <w:t>dejara de manchar el nombre de</w:t>
      </w:r>
      <w:r w:rsidR="00370850" w:rsidRPr="006A0D1F">
        <w:t>l</w:t>
      </w:r>
      <w:r w:rsidRPr="006A0D1F">
        <w:t xml:space="preserve"> Juez</w:t>
      </w:r>
      <w:r w:rsidR="00370850" w:rsidRPr="006A0D1F">
        <w:t xml:space="preserve"> del lugar alegando que:</w:t>
      </w:r>
      <w:r w:rsidRPr="006A0D1F">
        <w:t xml:space="preserve"> “</w:t>
      </w:r>
      <w:r w:rsidRPr="006A0D1F">
        <w:rPr>
          <w:i/>
        </w:rPr>
        <w:t xml:space="preserve">los ataques contra el Sr. Juez González han concluido por hacer dudar a muchos de la competencia de este honorable funcionario, lo cual significa un error basta con recordar que el Lic. González es uno de los autores de la administración de justicia </w:t>
      </w:r>
      <w:r w:rsidR="00192B3D">
        <w:rPr>
          <w:i/>
        </w:rPr>
        <w:t xml:space="preserve">que </w:t>
      </w:r>
      <w:r w:rsidRPr="006A0D1F">
        <w:rPr>
          <w:i/>
        </w:rPr>
        <w:t>hasta hoy vigente en nuestros tribunales y colaborador en la formación de la constitución política del Estado</w:t>
      </w:r>
      <w:r w:rsidR="00370850" w:rsidRPr="006A0D1F">
        <w:rPr>
          <w:i/>
        </w:rPr>
        <w:t xml:space="preserve">, </w:t>
      </w:r>
      <w:r w:rsidRPr="006A0D1F">
        <w:rPr>
          <w:i/>
        </w:rPr>
        <w:t xml:space="preserve">aquel funcionario </w:t>
      </w:r>
      <w:r w:rsidR="00370850" w:rsidRPr="006A0D1F">
        <w:rPr>
          <w:i/>
        </w:rPr>
        <w:t xml:space="preserve">pide justicia </w:t>
      </w:r>
      <w:r w:rsidRPr="006A0D1F">
        <w:rPr>
          <w:i/>
        </w:rPr>
        <w:t>del periódico que lo ataca</w:t>
      </w:r>
      <w:r w:rsidR="00370850" w:rsidRPr="006A0D1F">
        <w:rPr>
          <w:i/>
        </w:rPr>
        <w:t>,</w:t>
      </w:r>
      <w:r w:rsidRPr="006A0D1F">
        <w:rPr>
          <w:i/>
        </w:rPr>
        <w:t xml:space="preserve"> que omita la declaración de datos y hechos que deben de permanecer reservados para no entorpecer el curso del proceso y a la sociedad se suplica se abstenga de pronunciar su fallo”.</w:t>
      </w:r>
      <w:r w:rsidR="008E51F2">
        <w:t xml:space="preserve"> </w:t>
      </w:r>
      <w:r w:rsidR="0096104A" w:rsidRPr="006A0D1F">
        <w:t xml:space="preserve">A </w:t>
      </w:r>
      <w:r w:rsidR="0096104A" w:rsidRPr="006A0D1F">
        <w:rPr>
          <w:i/>
        </w:rPr>
        <w:t xml:space="preserve">El Eco </w:t>
      </w:r>
      <w:r w:rsidR="0096104A" w:rsidRPr="006A0D1F">
        <w:t>le pareció absurda</w:t>
      </w:r>
      <w:r w:rsidR="007018D9" w:rsidRPr="006A0D1F">
        <w:t xml:space="preserve"> </w:t>
      </w:r>
      <w:r w:rsidR="00862848">
        <w:t xml:space="preserve">tal </w:t>
      </w:r>
      <w:r w:rsidR="007018D9" w:rsidRPr="006A0D1F">
        <w:t>aseveración</w:t>
      </w:r>
      <w:r w:rsidR="00862848">
        <w:t>, y replicó lo siguiente el 7 de octubre de 1890</w:t>
      </w:r>
      <w:r w:rsidRPr="006A0D1F">
        <w:t>: “</w:t>
      </w:r>
      <w:r w:rsidRPr="006A0D1F">
        <w:rPr>
          <w:i/>
        </w:rPr>
        <w:t>creemos que n</w:t>
      </w:r>
      <w:r w:rsidR="007018D9" w:rsidRPr="006A0D1F">
        <w:rPr>
          <w:i/>
        </w:rPr>
        <w:t>o</w:t>
      </w:r>
      <w:r w:rsidRPr="006A0D1F">
        <w:rPr>
          <w:i/>
        </w:rPr>
        <w:t xml:space="preserve"> tienen razón para pedir que la sociedad suspenda su fallo sobre</w:t>
      </w:r>
      <w:r w:rsidR="007018D9" w:rsidRPr="006A0D1F">
        <w:rPr>
          <w:i/>
        </w:rPr>
        <w:t xml:space="preserve"> la conducta que ha observado</w:t>
      </w:r>
      <w:r w:rsidRPr="006A0D1F">
        <w:rPr>
          <w:i/>
        </w:rPr>
        <w:t>. En cuanto a La Revista es de deseársele mejor criterio</w:t>
      </w:r>
      <w:r w:rsidR="007018D9" w:rsidRPr="006A0D1F">
        <w:rPr>
          <w:i/>
        </w:rPr>
        <w:t>.</w:t>
      </w:r>
      <w:r w:rsidRPr="006A0D1F">
        <w:rPr>
          <w:i/>
        </w:rPr>
        <w:t>”</w:t>
      </w:r>
    </w:p>
    <w:p w14:paraId="477622E1" w14:textId="1295B85B" w:rsidR="008E51F2" w:rsidRDefault="002D3828" w:rsidP="00285614">
      <w:pPr>
        <w:spacing w:line="480" w:lineRule="auto"/>
        <w:ind w:firstLine="708"/>
        <w:jc w:val="both"/>
      </w:pPr>
      <w:r w:rsidRPr="006A0D1F">
        <w:t>Los crímenes contra los jornaleros no dejaron de figurar en el periodismo meridano decimonónico, sin embargo</w:t>
      </w:r>
      <w:r w:rsidR="00AF15DE">
        <w:t>,</w:t>
      </w:r>
      <w:r w:rsidRPr="006A0D1F">
        <w:t xml:space="preserve"> no </w:t>
      </w:r>
      <w:r w:rsidR="00AF15DE">
        <w:t xml:space="preserve">se registra </w:t>
      </w:r>
      <w:r w:rsidRPr="006A0D1F">
        <w:t>otro asesinato ni flagelación que captara la atención como sucedió con el caso de Silverio García</w:t>
      </w:r>
      <w:r w:rsidR="00AF15DE">
        <w:t xml:space="preserve"> en Tekax</w:t>
      </w:r>
      <w:r w:rsidRPr="006A0D1F">
        <w:t xml:space="preserve">. </w:t>
      </w:r>
      <w:r w:rsidR="00237267">
        <w:t>Por ejemplo,</w:t>
      </w:r>
      <w:r w:rsidR="00264FE1" w:rsidRPr="006A0D1F">
        <w:t xml:space="preserve"> e</w:t>
      </w:r>
      <w:r w:rsidR="00A91174">
        <w:t>l 20</w:t>
      </w:r>
      <w:r w:rsidR="001A7F1F">
        <w:t xml:space="preserve"> de</w:t>
      </w:r>
      <w:r w:rsidR="00264FE1" w:rsidRPr="006A0D1F">
        <w:t xml:space="preserve"> </w:t>
      </w:r>
      <w:r w:rsidRPr="006A0D1F">
        <w:t xml:space="preserve">septiembre de 1890 </w:t>
      </w:r>
      <w:r w:rsidR="00A91174" w:rsidRPr="001A7F1F">
        <w:rPr>
          <w:i/>
        </w:rPr>
        <w:t>El Eco</w:t>
      </w:r>
      <w:r w:rsidR="00A91174">
        <w:t xml:space="preserve"> dio a conocer </w:t>
      </w:r>
      <w:r w:rsidRPr="006A0D1F">
        <w:t xml:space="preserve">el </w:t>
      </w:r>
      <w:r w:rsidR="00264FE1" w:rsidRPr="006A0D1F">
        <w:t xml:space="preserve">homicidio de </w:t>
      </w:r>
      <w:r w:rsidRPr="006A0D1F">
        <w:t xml:space="preserve">Silvestre Concha, </w:t>
      </w:r>
      <w:r w:rsidR="00264FE1" w:rsidRPr="006A0D1F">
        <w:t xml:space="preserve">un </w:t>
      </w:r>
      <w:r w:rsidRPr="006A0D1F">
        <w:t xml:space="preserve">carpintero de la hacienda Chacan del Partido de Tixkokob, </w:t>
      </w:r>
      <w:r w:rsidR="00264FE1" w:rsidRPr="006A0D1F">
        <w:t xml:space="preserve">quien fue finado a machetazos por </w:t>
      </w:r>
      <w:r w:rsidRPr="006A0D1F">
        <w:t>sirvientes de la hacienda</w:t>
      </w:r>
      <w:r w:rsidR="00264FE1" w:rsidRPr="006A0D1F">
        <w:t xml:space="preserve">. </w:t>
      </w:r>
      <w:r w:rsidR="008E51F2">
        <w:t>E</w:t>
      </w:r>
      <w:r w:rsidR="00264FE1" w:rsidRPr="006A0D1F">
        <w:t xml:space="preserve">n Tekax </w:t>
      </w:r>
      <w:r w:rsidR="00862848">
        <w:t xml:space="preserve">un año más tarde </w:t>
      </w:r>
      <w:r w:rsidR="008E51F2">
        <w:t>se reportó</w:t>
      </w:r>
      <w:r w:rsidR="00264FE1" w:rsidRPr="006A0D1F">
        <w:t xml:space="preserve"> el homicidio de Feliciano Uicab quien fue muerto por causa de una </w:t>
      </w:r>
      <w:r w:rsidR="00C30736" w:rsidRPr="006A0D1F">
        <w:t>flagelación</w:t>
      </w:r>
      <w:r w:rsidR="00264FE1" w:rsidRPr="006A0D1F">
        <w:t xml:space="preserve">, al parecer el crimen quedó impune, y </w:t>
      </w:r>
      <w:r w:rsidR="00264FE1" w:rsidRPr="006A0D1F">
        <w:rPr>
          <w:i/>
        </w:rPr>
        <w:t xml:space="preserve">El Eco </w:t>
      </w:r>
      <w:r w:rsidR="00264FE1" w:rsidRPr="006A0D1F">
        <w:t>esgrimió la siguiente pregunta</w:t>
      </w:r>
      <w:r w:rsidR="00A91174">
        <w:t xml:space="preserve"> el 10 de octubre de 189</w:t>
      </w:r>
      <w:r w:rsidR="00862848">
        <w:t>1</w:t>
      </w:r>
      <w:r w:rsidR="00264FE1" w:rsidRPr="006A0D1F">
        <w:t xml:space="preserve">: </w:t>
      </w:r>
      <w:r w:rsidRPr="006A0D1F">
        <w:t>“</w:t>
      </w:r>
      <w:r w:rsidRPr="006A0D1F">
        <w:rPr>
          <w:i/>
        </w:rPr>
        <w:t>¿Están prohibidos los azotes por nuestra legislación penal? O la muerte causada por flagelaci</w:t>
      </w:r>
      <w:r w:rsidR="00264FE1" w:rsidRPr="006A0D1F">
        <w:rPr>
          <w:i/>
        </w:rPr>
        <w:t>ón constituye delito calificado.</w:t>
      </w:r>
      <w:r w:rsidRPr="006A0D1F">
        <w:rPr>
          <w:i/>
        </w:rPr>
        <w:t>”</w:t>
      </w:r>
      <w:r w:rsidR="0066016C" w:rsidRPr="0066016C">
        <w:t xml:space="preserve"> </w:t>
      </w:r>
      <w:r w:rsidR="00E557B5">
        <w:t xml:space="preserve">El peritaje de los médicos legistas sobre este crimen destacó lo siguiente: </w:t>
      </w:r>
      <w:r w:rsidR="00E557B5" w:rsidRPr="008E51F2">
        <w:t>“</w:t>
      </w:r>
      <w:r w:rsidR="00E557B5" w:rsidRPr="005D28C7">
        <w:rPr>
          <w:i/>
        </w:rPr>
        <w:t>hallaron de la espalda hasta las nalgas un sin contar de azotes con inflamación horrible con 31 golpes en la cara, uno mayor que existe sobre el ojo izquierdo que llegaba hasta las sienes y lo demás del cuerpo estropeado. En ambas pantorrillas existen rozadoras donde fue amarrado para evitar que no se pudiera mover”</w:t>
      </w:r>
      <w:r w:rsidR="00E557B5">
        <w:t xml:space="preserve">. La nota también informó que por este crimen el mayordomo </w:t>
      </w:r>
      <w:r w:rsidR="00E557B5" w:rsidRPr="008E51F2">
        <w:t xml:space="preserve">Canuto Soberanís fue condenado a doce años de cárcel y </w:t>
      </w:r>
      <w:r w:rsidR="00E557B5">
        <w:t>su</w:t>
      </w:r>
      <w:r w:rsidR="00E557B5" w:rsidRPr="008E51F2">
        <w:t xml:space="preserve"> cómplice Marcelino May </w:t>
      </w:r>
      <w:r w:rsidR="00E557B5">
        <w:t xml:space="preserve">a </w:t>
      </w:r>
      <w:r w:rsidR="00E557B5" w:rsidRPr="008E51F2">
        <w:t>seis años</w:t>
      </w:r>
      <w:r w:rsidR="00E557B5">
        <w:t>.</w:t>
      </w:r>
      <w:r w:rsidR="00237267">
        <w:t xml:space="preserve"> </w:t>
      </w:r>
      <w:r w:rsidR="0066016C" w:rsidRPr="006A0D1F">
        <w:t>E</w:t>
      </w:r>
      <w:r w:rsidR="00A91174">
        <w:t>l 11 de marzo de</w:t>
      </w:r>
      <w:r w:rsidR="0066016C" w:rsidRPr="006A0D1F">
        <w:t xml:space="preserve"> 1893,</w:t>
      </w:r>
      <w:r w:rsidR="00A91174">
        <w:t xml:space="preserve"> </w:t>
      </w:r>
      <w:r w:rsidR="00A91174" w:rsidRPr="00862848">
        <w:rPr>
          <w:i/>
        </w:rPr>
        <w:t>El Eco</w:t>
      </w:r>
      <w:r w:rsidR="00A91174">
        <w:t xml:space="preserve"> reportó que</w:t>
      </w:r>
      <w:r w:rsidR="0066016C" w:rsidRPr="006A0D1F">
        <w:t xml:space="preserve"> en la finca de Ci</w:t>
      </w:r>
      <w:r w:rsidR="00192B3D">
        <w:t>r</w:t>
      </w:r>
      <w:r w:rsidR="0066016C" w:rsidRPr="006A0D1F">
        <w:t>erol de Cenotillo, un mayordomo fue macheteado mientras dormía por mano de los jornaleros, posiblemente se trató de un ajusticiamiento.</w:t>
      </w:r>
      <w:r w:rsidR="00A91174" w:rsidRPr="006A0D1F" w:rsidDel="00A91174">
        <w:rPr>
          <w:rStyle w:val="Refdenotaalpie"/>
        </w:rPr>
        <w:t xml:space="preserve"> </w:t>
      </w:r>
      <w:r w:rsidR="000A4DB6" w:rsidRPr="006A0D1F">
        <w:t xml:space="preserve">El Licenciado Manuel Cirerol tenía varias fincas, y en ellas sucedían cosas similares, pero la prensa </w:t>
      </w:r>
      <w:r w:rsidR="008E51F2">
        <w:t>revisada nunca lo señaló</w:t>
      </w:r>
      <w:r w:rsidR="000A4DB6" w:rsidRPr="006A0D1F">
        <w:t xml:space="preserve"> </w:t>
      </w:r>
      <w:r w:rsidR="00237267">
        <w:t xml:space="preserve">con el ímpetu del crimen de </w:t>
      </w:r>
      <w:r w:rsidR="005D28C7">
        <w:t>Tekax</w:t>
      </w:r>
      <w:r w:rsidR="00237267">
        <w:t xml:space="preserve">; </w:t>
      </w:r>
      <w:r w:rsidR="000A4DB6" w:rsidRPr="006A0D1F">
        <w:t xml:space="preserve">sino que </w:t>
      </w:r>
      <w:r w:rsidR="008E51F2">
        <w:t>lo dejó</w:t>
      </w:r>
      <w:r w:rsidR="000A4DB6" w:rsidRPr="006A0D1F">
        <w:t xml:space="preserve"> </w:t>
      </w:r>
      <w:r w:rsidR="00B44982">
        <w:t xml:space="preserve">en </w:t>
      </w:r>
      <w:r w:rsidR="000A4DB6" w:rsidRPr="006A0D1F">
        <w:t xml:space="preserve">un tono de denuncia social que únicamente atacaba a las autoridades rurales. </w:t>
      </w:r>
    </w:p>
    <w:p w14:paraId="7D405502" w14:textId="78F4097D" w:rsidR="002D3828" w:rsidRPr="006A0D1F" w:rsidRDefault="00192B3D" w:rsidP="00AF15DE">
      <w:pPr>
        <w:spacing w:line="480" w:lineRule="auto"/>
        <w:ind w:firstLine="708"/>
        <w:jc w:val="both"/>
      </w:pPr>
      <w:r>
        <w:t xml:space="preserve">El homicidio de Silverio García dejó de figurar en las páginas de </w:t>
      </w:r>
      <w:r>
        <w:rPr>
          <w:i/>
        </w:rPr>
        <w:t>El Eco</w:t>
      </w:r>
      <w:r>
        <w:t xml:space="preserve">, </w:t>
      </w:r>
      <w:r w:rsidR="00FA4C96">
        <w:t>después e</w:t>
      </w:r>
      <w:r w:rsidR="005D28C7">
        <w:t>l</w:t>
      </w:r>
      <w:r w:rsidR="00FA4C96">
        <w:t xml:space="preserve"> 7 de octubre de 1890 </w:t>
      </w:r>
      <w:r w:rsidR="00237267">
        <w:t>probablemente por</w:t>
      </w:r>
      <w:r>
        <w:t xml:space="preserve"> la presión que ejercieron las autoridades</w:t>
      </w:r>
      <w:r w:rsidR="00237267">
        <w:t xml:space="preserve">, </w:t>
      </w:r>
      <w:r>
        <w:rPr>
          <w:i/>
        </w:rPr>
        <w:t>La Revista</w:t>
      </w:r>
      <w:r w:rsidR="00237267">
        <w:rPr>
          <w:i/>
        </w:rPr>
        <w:t xml:space="preserve"> </w:t>
      </w:r>
      <w:r w:rsidR="00237267" w:rsidRPr="005D28C7">
        <w:t xml:space="preserve">y quizá por </w:t>
      </w:r>
      <w:r w:rsidR="00FA4C96">
        <w:t xml:space="preserve">amenazas de los hacendados que temían la etiqueta pública </w:t>
      </w:r>
      <w:r w:rsidR="00237267" w:rsidRPr="005D28C7">
        <w:t>como mencionaba</w:t>
      </w:r>
      <w:r w:rsidR="00237267">
        <w:rPr>
          <w:i/>
        </w:rPr>
        <w:t xml:space="preserve"> </w:t>
      </w:r>
      <w:r w:rsidR="00237267" w:rsidRPr="00AF15DE">
        <w:rPr>
          <w:i/>
        </w:rPr>
        <w:t>La Razón Católica</w:t>
      </w:r>
      <w:r>
        <w:rPr>
          <w:i/>
        </w:rPr>
        <w:t xml:space="preserve">. </w:t>
      </w:r>
      <w:r>
        <w:t xml:space="preserve">Ya no se reportó qué sucedió con los autores del crimen. Sin embargo, las muertes por persecución o flagelación en las haciendas no dejaron de suceder. La redacción de asesinatos y agresiones entre sujetos del mismo peldaño social se volvieron más comunes, así como la presencia de alcohol en su ejecución. </w:t>
      </w:r>
    </w:p>
    <w:p w14:paraId="2BA7902A" w14:textId="77777777" w:rsidR="001E5861" w:rsidRDefault="001E5861" w:rsidP="001E5861">
      <w:pPr>
        <w:spacing w:line="480" w:lineRule="auto"/>
        <w:jc w:val="both"/>
        <w:rPr>
          <w:b/>
          <w:sz w:val="22"/>
          <w:szCs w:val="22"/>
        </w:rPr>
      </w:pPr>
      <w:r>
        <w:rPr>
          <w:b/>
        </w:rPr>
        <w:t xml:space="preserve">Discusión </w:t>
      </w:r>
    </w:p>
    <w:p w14:paraId="565262E3" w14:textId="1EC055AC" w:rsidR="001E5861" w:rsidRDefault="001E5861" w:rsidP="001E5861">
      <w:pPr>
        <w:spacing w:line="480" w:lineRule="auto"/>
        <w:jc w:val="both"/>
      </w:pPr>
      <w:r>
        <w:t xml:space="preserve">El crimen de Tekax de 1890 </w:t>
      </w:r>
      <w:r w:rsidR="00217458">
        <w:t xml:space="preserve">se </w:t>
      </w:r>
      <w:r w:rsidR="00FA4C96">
        <w:t>sitúa</w:t>
      </w:r>
      <w:r w:rsidR="00217458">
        <w:t xml:space="preserve"> </w:t>
      </w:r>
      <w:r w:rsidR="00FA4C96">
        <w:t>en Yucatán durante el gobierno de Daniel Traconis (</w:t>
      </w:r>
      <w:r w:rsidR="00217458">
        <w:t>1890-1894</w:t>
      </w:r>
      <w:r w:rsidR="00FA4C96">
        <w:t xml:space="preserve">); </w:t>
      </w:r>
      <w:r w:rsidR="00217458">
        <w:t>Marisa Pérez sostiene que este periodo se caracterizó por la consolidación política que tendió a favorecer a determinados grupos familiares que ejercían tanto el control político como el económico (Pérez de Sarmiento, 2002</w:t>
      </w:r>
      <w:r w:rsidR="00D25A5D">
        <w:t>:</w:t>
      </w:r>
      <w:r w:rsidR="00217458">
        <w:rPr>
          <w:lang w:val="es-ES"/>
        </w:rPr>
        <w:t xml:space="preserve"> 22)</w:t>
      </w:r>
      <w:r w:rsidR="00217458">
        <w:rPr>
          <w:i/>
        </w:rPr>
        <w:t>.</w:t>
      </w:r>
      <w:r w:rsidR="00217458">
        <w:t xml:space="preserve"> Sin embargo, </w:t>
      </w:r>
      <w:r>
        <w:t>Klahr y Barata</w:t>
      </w:r>
      <w:r w:rsidR="00217458">
        <w:t xml:space="preserve"> apuntan que </w:t>
      </w:r>
      <w:r>
        <w:t xml:space="preserve">la prensa muchas veces criticaba la forma de hacer justica (2009), el caso analizado plantea una crítica sobre las costumbres que pervivían en Yucatán a finales del siglo XIX al igual que sobre la ley y sus modos de impartir justicia, los cuales desfavorecían a los peones mayas en pro del auge del Henequén </w:t>
      </w:r>
      <w:r w:rsidR="00FA4C96">
        <w:t xml:space="preserve">o la caña de azúcar </w:t>
      </w:r>
      <w:r>
        <w:t xml:space="preserve">y de las familias latifundistas. La revisión historiográfica apuntala esta idea </w:t>
      </w:r>
      <w:r w:rsidR="009E099B">
        <w:t>e</w:t>
      </w:r>
      <w:r>
        <w:t xml:space="preserve"> ilustra cómo fue el contexto en donde moraba el peón</w:t>
      </w:r>
      <w:r w:rsidR="009E099B">
        <w:t>. En ese sentido podría ser conveniente revisar comparativamente la nota roja y su crítica en varios estados mexicanos para analizar las diferencias de criminalidad y el marcado número de asesinatos a periodistas que caracteriza a México</w:t>
      </w:r>
      <w:r>
        <w:t>.</w:t>
      </w:r>
    </w:p>
    <w:p w14:paraId="2D3890CD" w14:textId="400D1CB3" w:rsidR="00DB0026" w:rsidRDefault="001E5861" w:rsidP="001E5861">
      <w:pPr>
        <w:spacing w:line="480" w:lineRule="auto"/>
        <w:jc w:val="both"/>
      </w:pPr>
      <w:r>
        <w:tab/>
        <w:t xml:space="preserve">Algunos historiadores como Speckman, Piccato, del Castillo y Canto </w:t>
      </w:r>
      <w:r w:rsidR="00FA4C96">
        <w:t>estudiaron crímenes reportados en las prensa y</w:t>
      </w:r>
      <w:r>
        <w:t xml:space="preserve"> </w:t>
      </w:r>
      <w:r w:rsidR="00FA4C96">
        <w:t>revisaron</w:t>
      </w:r>
      <w:r>
        <w:t xml:space="preserve"> percepciones de la conducta antisocial relatadas por </w:t>
      </w:r>
      <w:r w:rsidR="009E099B">
        <w:t>la prensa como un</w:t>
      </w:r>
      <w:r>
        <w:t xml:space="preserve"> aparato moralizador </w:t>
      </w:r>
      <w:r w:rsidR="00FA4C96">
        <w:t>citadino</w:t>
      </w:r>
      <w:r>
        <w:t xml:space="preserve"> </w:t>
      </w:r>
      <w:r w:rsidR="009E099B">
        <w:t>siempre en</w:t>
      </w:r>
      <w:r>
        <w:t xml:space="preserve"> el mismo grupo social. Este </w:t>
      </w:r>
      <w:r w:rsidR="009E099B">
        <w:t>crimen</w:t>
      </w:r>
      <w:r>
        <w:t xml:space="preserve"> es diferente</w:t>
      </w:r>
      <w:r w:rsidR="00D25A5D">
        <w:t xml:space="preserve"> ya que</w:t>
      </w:r>
      <w:r>
        <w:t xml:space="preserve"> no se </w:t>
      </w:r>
      <w:r w:rsidR="009E099B">
        <w:t>exhibe</w:t>
      </w:r>
      <w:r>
        <w:t xml:space="preserve"> dos partes antagónicas, </w:t>
      </w:r>
      <w:r w:rsidR="00DB0026">
        <w:t xml:space="preserve">más bien </w:t>
      </w:r>
      <w:r w:rsidR="009E099B">
        <w:t xml:space="preserve">muestra evidencias de cómo se integra en la nota roja una crítica a las condiciones laborales y al andamiaje legal y de investigación que cimientan el </w:t>
      </w:r>
      <w:r>
        <w:t>maltrat</w:t>
      </w:r>
      <w:r w:rsidR="009E099B">
        <w:t>o de los jornaleros mayas</w:t>
      </w:r>
      <w:r>
        <w:t xml:space="preserve"> por el personal del hacendado.</w:t>
      </w:r>
    </w:p>
    <w:p w14:paraId="2AD66F13" w14:textId="70740033" w:rsidR="001E5861" w:rsidRDefault="001E5861" w:rsidP="001E5861">
      <w:pPr>
        <w:spacing w:line="480" w:lineRule="auto"/>
        <w:jc w:val="both"/>
      </w:pPr>
      <w:r>
        <w:tab/>
        <w:t xml:space="preserve">Si bien es cierto que en la nota roja de El crimen de Tekax narrado por </w:t>
      </w:r>
      <w:r>
        <w:rPr>
          <w:i/>
        </w:rPr>
        <w:t xml:space="preserve">El Eco, </w:t>
      </w:r>
      <w:r>
        <w:t>de acuerdo con lo que señala Castillo Canché y Mex Albornoz, aparece la figura del “reporter”</w:t>
      </w:r>
      <w:r w:rsidR="00FA4C96">
        <w:t xml:space="preserve">; conviene reconocerlo como un </w:t>
      </w:r>
      <w:r>
        <w:t>ejemplo de cómo un periódico</w:t>
      </w:r>
      <w:r w:rsidR="00FA4C96">
        <w:t>,</w:t>
      </w:r>
      <w:r>
        <w:t xml:space="preserve"> </w:t>
      </w:r>
      <w:r w:rsidR="00FA4C96">
        <w:t>gracias a</w:t>
      </w:r>
      <w:r>
        <w:t xml:space="preserve"> la investigación</w:t>
      </w:r>
      <w:r w:rsidR="00FA4C96">
        <w:t>,</w:t>
      </w:r>
      <w:r>
        <w:t xml:space="preserve"> cumple con </w:t>
      </w:r>
      <w:r w:rsidR="00FA4C96">
        <w:t>la</w:t>
      </w:r>
      <w:r>
        <w:t xml:space="preserve"> función de informar a una sociedad sobre algo</w:t>
      </w:r>
      <w:r w:rsidR="00FA4C96">
        <w:t xml:space="preserve">. Y critica el contexto jurídico en el que ocurre; los errores y omisiones de procedimiento </w:t>
      </w:r>
      <w:r w:rsidR="00B85917">
        <w:t>y cuestiona</w:t>
      </w:r>
      <w:r w:rsidR="00FA4C96">
        <w:t xml:space="preserve"> </w:t>
      </w:r>
      <w:r>
        <w:t xml:space="preserve">desde su percepción ética </w:t>
      </w:r>
      <w:r w:rsidR="00FF5738">
        <w:t xml:space="preserve">lo </w:t>
      </w:r>
      <w:r>
        <w:t>que es injust</w:t>
      </w:r>
      <w:r w:rsidR="001F425E">
        <w:t>o</w:t>
      </w:r>
      <w:r>
        <w:t xml:space="preserve">.  </w:t>
      </w:r>
    </w:p>
    <w:p w14:paraId="7F6FEBD0" w14:textId="6AA3A5CE" w:rsidR="001E5861" w:rsidRDefault="001E5861" w:rsidP="001E5861">
      <w:pPr>
        <w:spacing w:line="480" w:lineRule="auto"/>
        <w:jc w:val="both"/>
      </w:pPr>
      <w:r>
        <w:tab/>
      </w:r>
      <w:r w:rsidR="00285614">
        <w:t>La documentación</w:t>
      </w:r>
      <w:r>
        <w:t xml:space="preserve"> </w:t>
      </w:r>
      <w:r w:rsidR="00285614">
        <w:t>hemerográfica (</w:t>
      </w:r>
      <w:r w:rsidR="00285614">
        <w:rPr>
          <w:i/>
        </w:rPr>
        <w:t>El Eco, La Revista)</w:t>
      </w:r>
      <w:r w:rsidR="00285614">
        <w:t xml:space="preserve"> revisada tanto d</w:t>
      </w:r>
      <w:r>
        <w:t xml:space="preserve">el crimen de Tekax como </w:t>
      </w:r>
      <w:r w:rsidR="00285614">
        <w:t xml:space="preserve">otros en la prensa yucateca; </w:t>
      </w:r>
      <w:r w:rsidR="00285614" w:rsidRPr="00285614">
        <w:t>reportan</w:t>
      </w:r>
      <w:r w:rsidRPr="00285614">
        <w:t xml:space="preserve"> </w:t>
      </w:r>
      <w:r w:rsidR="00FF5738">
        <w:t>mal</w:t>
      </w:r>
      <w:r>
        <w:t>tratos</w:t>
      </w:r>
      <w:r w:rsidR="00FF5738">
        <w:t xml:space="preserve"> de jornaleros mayas</w:t>
      </w:r>
      <w:r>
        <w:t xml:space="preserve"> por parte de capataces y personeros. </w:t>
      </w:r>
      <w:r w:rsidR="00FF5738">
        <w:t>Pero,</w:t>
      </w:r>
      <w:r>
        <w:t xml:space="preserve"> </w:t>
      </w:r>
      <w:r w:rsidR="00285614">
        <w:t>tal como en el crimen de Te</w:t>
      </w:r>
      <w:r w:rsidR="00B85917">
        <w:t>k</w:t>
      </w:r>
      <w:r w:rsidR="00285614">
        <w:t xml:space="preserve">ax, el nombre del dueño de la finca </w:t>
      </w:r>
      <w:r w:rsidR="00FF5738" w:rsidRPr="006A0D1F">
        <w:t>Manuel Cirerol y Canto</w:t>
      </w:r>
      <w:r w:rsidR="00FF5738">
        <w:t xml:space="preserve"> </w:t>
      </w:r>
      <w:r w:rsidR="00285614">
        <w:t>nunca</w:t>
      </w:r>
      <w:r>
        <w:t xml:space="preserve"> figur</w:t>
      </w:r>
      <w:r w:rsidR="00285614">
        <w:t>a</w:t>
      </w:r>
      <w:r>
        <w:t xml:space="preserve"> como autor intelectual del crimen</w:t>
      </w:r>
      <w:r w:rsidR="00285614">
        <w:t xml:space="preserve">, </w:t>
      </w:r>
      <w:r w:rsidR="00B85917">
        <w:t xml:space="preserve">de </w:t>
      </w:r>
      <w:r>
        <w:t xml:space="preserve">hecho, </w:t>
      </w:r>
      <w:r>
        <w:rPr>
          <w:i/>
        </w:rPr>
        <w:t xml:space="preserve">El Eco </w:t>
      </w:r>
      <w:r>
        <w:t xml:space="preserve">apuntó que era el dueño de las haciendas en donde los crímenes acontecían, </w:t>
      </w:r>
      <w:r w:rsidR="00FF5738">
        <w:t xml:space="preserve">pero su </w:t>
      </w:r>
      <w:r>
        <w:t>nombre nunca fue manchado</w:t>
      </w:r>
      <w:r w:rsidR="00FF5738">
        <w:t>; aun cuando</w:t>
      </w:r>
      <w:r>
        <w:t xml:space="preserve"> se podría suponer que él sabía la forma en la que sus empleados administran justicia en sus </w:t>
      </w:r>
      <w:r w:rsidR="00285614">
        <w:t>haciendas.</w:t>
      </w:r>
      <w:r>
        <w:t xml:space="preserve"> </w:t>
      </w:r>
    </w:p>
    <w:p w14:paraId="238B2444" w14:textId="77777777" w:rsidR="002A72B0" w:rsidRDefault="002A72B0" w:rsidP="005550A6">
      <w:pPr>
        <w:spacing w:line="480" w:lineRule="auto"/>
        <w:jc w:val="both"/>
      </w:pPr>
    </w:p>
    <w:p w14:paraId="7DF2D023" w14:textId="1AFC9E71" w:rsidR="00282C5E" w:rsidRPr="0013007C" w:rsidRDefault="00282C5E" w:rsidP="005550A6">
      <w:pPr>
        <w:spacing w:line="480" w:lineRule="auto"/>
        <w:jc w:val="both"/>
      </w:pPr>
      <w:r w:rsidRPr="0013007C">
        <w:t xml:space="preserve">Bibliografía </w:t>
      </w:r>
    </w:p>
    <w:p w14:paraId="015F3AC1" w14:textId="5296F239" w:rsidR="00324D4E" w:rsidRDefault="00324D4E" w:rsidP="00B85917">
      <w:pPr>
        <w:jc w:val="both"/>
      </w:pPr>
      <w:r>
        <w:t>Alamilla</w:t>
      </w:r>
      <w:r w:rsidR="00FA2F94">
        <w:t>,</w:t>
      </w:r>
      <w:r>
        <w:t xml:space="preserve"> Antonio Manuel y Tomás Emilio Pellicer Larrea</w:t>
      </w:r>
      <w:r w:rsidR="00333354">
        <w:t>,</w:t>
      </w:r>
      <w:r>
        <w:t xml:space="preserve"> 1994</w:t>
      </w:r>
      <w:r w:rsidR="00333354">
        <w:t>,</w:t>
      </w:r>
      <w:r>
        <w:t xml:space="preserve"> </w:t>
      </w:r>
      <w:r w:rsidRPr="00DB0026">
        <w:rPr>
          <w:i/>
        </w:rPr>
        <w:t>El cosmopolitismo de los común y corrientes. La inmigración a Yucatán durante el Porfiriato</w:t>
      </w:r>
      <w:r>
        <w:t>. Tesis de Licenciado en Ciencias Antropológicas en la especialidad de Historia, Mérida, Universidad Autónoma de Yucatán.</w:t>
      </w:r>
    </w:p>
    <w:p w14:paraId="0A819C78" w14:textId="77777777" w:rsidR="00324D4E" w:rsidRDefault="00324D4E" w:rsidP="00B85917">
      <w:pPr>
        <w:jc w:val="both"/>
      </w:pPr>
    </w:p>
    <w:p w14:paraId="5405AAD0" w14:textId="463C2041" w:rsidR="005A02C4" w:rsidRPr="002A72B0" w:rsidRDefault="005A02C4" w:rsidP="00B85917">
      <w:pPr>
        <w:jc w:val="both"/>
      </w:pPr>
      <w:r>
        <w:t>Canto</w:t>
      </w:r>
      <w:r w:rsidR="005E242A">
        <w:t>,</w:t>
      </w:r>
      <w:r>
        <w:t xml:space="preserve"> V</w:t>
      </w:r>
      <w:r w:rsidR="00BF74E1">
        <w:t>aldes</w:t>
      </w:r>
      <w:r>
        <w:t xml:space="preserve"> L</w:t>
      </w:r>
      <w:r w:rsidR="00BF74E1">
        <w:t>uis</w:t>
      </w:r>
      <w:r w:rsidR="00333354">
        <w:t xml:space="preserve">, </w:t>
      </w:r>
      <w:r>
        <w:t>2006</w:t>
      </w:r>
      <w:r w:rsidR="00333354">
        <w:t>,</w:t>
      </w:r>
      <w:r>
        <w:t xml:space="preserve"> </w:t>
      </w:r>
      <w:r>
        <w:rPr>
          <w:i/>
        </w:rPr>
        <w:t>La criminalidad en la prensa meridana del porfiriato: notas y noticias en el Eco del Comercio y La Revista de Mérida</w:t>
      </w:r>
      <w:r w:rsidR="00333354">
        <w:rPr>
          <w:i/>
        </w:rPr>
        <w:t>,</w:t>
      </w:r>
      <w:r w:rsidR="002A72B0">
        <w:rPr>
          <w:i/>
        </w:rPr>
        <w:t xml:space="preserve"> </w:t>
      </w:r>
      <w:r w:rsidR="002A72B0">
        <w:t>Mérida</w:t>
      </w:r>
      <w:r w:rsidR="002236FA">
        <w:t>, Universidad Autónoma de Yucatán</w:t>
      </w:r>
      <w:r w:rsidR="00333354">
        <w:t>.</w:t>
      </w:r>
    </w:p>
    <w:p w14:paraId="70C4DE82" w14:textId="77777777" w:rsidR="005550A6" w:rsidRDefault="005550A6" w:rsidP="00B85917">
      <w:pPr>
        <w:jc w:val="both"/>
        <w:rPr>
          <w:i/>
        </w:rPr>
      </w:pPr>
    </w:p>
    <w:p w14:paraId="16199A52" w14:textId="40609A28" w:rsidR="005550A6" w:rsidRDefault="005550A6" w:rsidP="00B85917">
      <w:pPr>
        <w:jc w:val="both"/>
        <w:rPr>
          <w:i/>
        </w:rPr>
      </w:pPr>
      <w:r w:rsidRPr="005550A6">
        <w:rPr>
          <w:i/>
        </w:rPr>
        <w:t>Canto</w:t>
      </w:r>
      <w:r w:rsidR="005E242A">
        <w:rPr>
          <w:i/>
        </w:rPr>
        <w:t>,</w:t>
      </w:r>
      <w:r w:rsidRPr="005550A6">
        <w:rPr>
          <w:i/>
        </w:rPr>
        <w:t xml:space="preserve"> </w:t>
      </w:r>
      <w:r w:rsidR="00BF74E1">
        <w:t xml:space="preserve">Valdes Luis, </w:t>
      </w:r>
      <w:r w:rsidRPr="005550A6">
        <w:rPr>
          <w:i/>
        </w:rPr>
        <w:t>2012</w:t>
      </w:r>
      <w:r w:rsidR="00333354">
        <w:rPr>
          <w:i/>
        </w:rPr>
        <w:t>,</w:t>
      </w:r>
      <w:r w:rsidRPr="005550A6">
        <w:rPr>
          <w:i/>
        </w:rPr>
        <w:t xml:space="preserve"> </w:t>
      </w:r>
      <w:r w:rsidRPr="00DB0026">
        <w:t>“La muerte voluntaria en Yucatán durante el Porfiriato”</w:t>
      </w:r>
      <w:r w:rsidRPr="005550A6">
        <w:rPr>
          <w:i/>
        </w:rPr>
        <w:t xml:space="preserve">, Secuencia. Revista de Historia y Ciencias Sociales, </w:t>
      </w:r>
      <w:r w:rsidR="000860F8">
        <w:t>n</w:t>
      </w:r>
      <w:r w:rsidRPr="00DB0026">
        <w:t>úmero 82, enero abril, pp. 75-100</w:t>
      </w:r>
      <w:r w:rsidR="00333354">
        <w:t>.</w:t>
      </w:r>
    </w:p>
    <w:p w14:paraId="563EC53C" w14:textId="77777777" w:rsidR="00C828CE" w:rsidRDefault="00C828CE" w:rsidP="00B85917">
      <w:pPr>
        <w:jc w:val="both"/>
        <w:rPr>
          <w:i/>
        </w:rPr>
      </w:pPr>
    </w:p>
    <w:p w14:paraId="3F236539" w14:textId="316B6C69" w:rsidR="00C828CE" w:rsidRDefault="005550A6" w:rsidP="00B85917">
      <w:pPr>
        <w:pStyle w:val="TableParagraph"/>
        <w:ind w:left="0" w:right="73"/>
        <w:jc w:val="both"/>
        <w:rPr>
          <w:sz w:val="24"/>
        </w:rPr>
      </w:pPr>
      <w:r w:rsidRPr="005550A6">
        <w:rPr>
          <w:sz w:val="24"/>
        </w:rPr>
        <w:t>Canto</w:t>
      </w:r>
      <w:r w:rsidR="005E242A">
        <w:rPr>
          <w:sz w:val="24"/>
        </w:rPr>
        <w:t>,</w:t>
      </w:r>
      <w:r w:rsidRPr="005550A6">
        <w:rPr>
          <w:sz w:val="24"/>
        </w:rPr>
        <w:t xml:space="preserve"> </w:t>
      </w:r>
      <w:r w:rsidR="00BF74E1" w:rsidRPr="00DB0026">
        <w:rPr>
          <w:sz w:val="24"/>
        </w:rPr>
        <w:t xml:space="preserve">Valdes Luis, </w:t>
      </w:r>
      <w:r w:rsidRPr="005550A6">
        <w:rPr>
          <w:sz w:val="24"/>
        </w:rPr>
        <w:t>2017</w:t>
      </w:r>
      <w:r w:rsidR="000860F8">
        <w:rPr>
          <w:sz w:val="24"/>
        </w:rPr>
        <w:t>,</w:t>
      </w:r>
      <w:r w:rsidRPr="005550A6">
        <w:rPr>
          <w:sz w:val="24"/>
        </w:rPr>
        <w:t xml:space="preserve"> “Suicidas y pelagrosos. La muerte voluntaria en Yucatán</w:t>
      </w:r>
      <w:r w:rsidR="000860F8">
        <w:rPr>
          <w:sz w:val="24"/>
        </w:rPr>
        <w:t xml:space="preserve"> </w:t>
      </w:r>
      <w:r w:rsidRPr="005550A6">
        <w:rPr>
          <w:sz w:val="24"/>
        </w:rPr>
        <w:t>durante el</w:t>
      </w:r>
      <w:r w:rsidR="000860F8">
        <w:rPr>
          <w:sz w:val="24"/>
        </w:rPr>
        <w:t xml:space="preserve"> </w:t>
      </w:r>
      <w:r w:rsidRPr="005550A6">
        <w:rPr>
          <w:sz w:val="24"/>
        </w:rPr>
        <w:t xml:space="preserve">Porfiriato”, </w:t>
      </w:r>
      <w:r w:rsidRPr="00DB0026">
        <w:rPr>
          <w:i/>
          <w:sz w:val="24"/>
        </w:rPr>
        <w:t>Letras   Históricas</w:t>
      </w:r>
      <w:r w:rsidRPr="005550A6">
        <w:rPr>
          <w:sz w:val="24"/>
        </w:rPr>
        <w:t xml:space="preserve">, </w:t>
      </w:r>
      <w:r w:rsidR="000860F8">
        <w:rPr>
          <w:sz w:val="24"/>
        </w:rPr>
        <w:t>n</w:t>
      </w:r>
      <w:r w:rsidRPr="005550A6">
        <w:rPr>
          <w:sz w:val="24"/>
        </w:rPr>
        <w:t>úm.  16,</w:t>
      </w:r>
      <w:r>
        <w:rPr>
          <w:sz w:val="24"/>
        </w:rPr>
        <w:t xml:space="preserve"> </w:t>
      </w:r>
      <w:r w:rsidR="000860F8">
        <w:rPr>
          <w:sz w:val="24"/>
        </w:rPr>
        <w:t xml:space="preserve">pp. </w:t>
      </w:r>
      <w:r>
        <w:rPr>
          <w:sz w:val="24"/>
        </w:rPr>
        <w:t>111-140.</w:t>
      </w:r>
    </w:p>
    <w:p w14:paraId="57435DC3" w14:textId="77777777" w:rsidR="00112536" w:rsidRDefault="00112536" w:rsidP="00B85917">
      <w:pPr>
        <w:pStyle w:val="TableParagraph"/>
        <w:ind w:right="73"/>
        <w:jc w:val="both"/>
        <w:rPr>
          <w:sz w:val="24"/>
        </w:rPr>
      </w:pPr>
    </w:p>
    <w:p w14:paraId="4E70DE60" w14:textId="2B4653BC" w:rsidR="00112536" w:rsidRPr="00112536" w:rsidRDefault="00112536" w:rsidP="00DB0026">
      <w:pPr>
        <w:pStyle w:val="TableParagraph"/>
        <w:ind w:left="0" w:right="97"/>
        <w:jc w:val="both"/>
        <w:rPr>
          <w:sz w:val="24"/>
        </w:rPr>
      </w:pPr>
      <w:r w:rsidRPr="00B85917">
        <w:rPr>
          <w:sz w:val="24"/>
        </w:rPr>
        <w:t>Canto</w:t>
      </w:r>
      <w:r w:rsidR="005E242A">
        <w:rPr>
          <w:sz w:val="24"/>
        </w:rPr>
        <w:t>,</w:t>
      </w:r>
      <w:r w:rsidRPr="00B85917">
        <w:rPr>
          <w:sz w:val="24"/>
        </w:rPr>
        <w:t xml:space="preserve"> </w:t>
      </w:r>
      <w:r w:rsidR="00BF74E1" w:rsidRPr="00DB0026">
        <w:rPr>
          <w:sz w:val="24"/>
        </w:rPr>
        <w:t xml:space="preserve">Valdes Luis, </w:t>
      </w:r>
      <w:r w:rsidRPr="00B85917">
        <w:rPr>
          <w:sz w:val="24"/>
        </w:rPr>
        <w:t>2018</w:t>
      </w:r>
      <w:r w:rsidR="000860F8">
        <w:rPr>
          <w:sz w:val="24"/>
        </w:rPr>
        <w:t>,</w:t>
      </w:r>
      <w:r w:rsidRPr="00B85917">
        <w:rPr>
          <w:sz w:val="24"/>
        </w:rPr>
        <w:t xml:space="preserve"> "Las mujeres suicidas desde la notas de la prensa meridiana porfirista", en Carrasco Hernández, Jazmín y Canto Valdes, Luis Roberto (</w:t>
      </w:r>
      <w:r w:rsidR="000860F8">
        <w:rPr>
          <w:sz w:val="24"/>
        </w:rPr>
        <w:t>c</w:t>
      </w:r>
      <w:r w:rsidRPr="00B85917">
        <w:rPr>
          <w:sz w:val="24"/>
        </w:rPr>
        <w:t>omps</w:t>
      </w:r>
      <w:r w:rsidR="000860F8">
        <w:rPr>
          <w:sz w:val="24"/>
        </w:rPr>
        <w:t>.</w:t>
      </w:r>
      <w:r w:rsidRPr="00B85917">
        <w:rPr>
          <w:sz w:val="24"/>
        </w:rPr>
        <w:t>)</w:t>
      </w:r>
      <w:r w:rsidR="000860F8">
        <w:rPr>
          <w:sz w:val="24"/>
        </w:rPr>
        <w:t>,</w:t>
      </w:r>
      <w:r w:rsidRPr="00B85917">
        <w:rPr>
          <w:sz w:val="24"/>
        </w:rPr>
        <w:t xml:space="preserve"> </w:t>
      </w:r>
      <w:r w:rsidRPr="00B85917">
        <w:rPr>
          <w:i/>
          <w:sz w:val="24"/>
        </w:rPr>
        <w:t>Convergencia de las Ciencias Sociales en los Estudios de la Interculturaldiad</w:t>
      </w:r>
      <w:r w:rsidRPr="00B85917">
        <w:rPr>
          <w:sz w:val="24"/>
        </w:rPr>
        <w:t>, UIEP, Puebla, pp. 65</w:t>
      </w:r>
      <w:r w:rsidRPr="00B85917">
        <w:rPr>
          <w:rFonts w:ascii="Trebuchet MS"/>
          <w:sz w:val="24"/>
        </w:rPr>
        <w:t>-</w:t>
      </w:r>
      <w:r w:rsidRPr="00B85917">
        <w:rPr>
          <w:sz w:val="24"/>
        </w:rPr>
        <w:t>94.</w:t>
      </w:r>
    </w:p>
    <w:p w14:paraId="5430D3A4" w14:textId="77777777" w:rsidR="005550A6" w:rsidRDefault="005550A6" w:rsidP="00B85917">
      <w:pPr>
        <w:pStyle w:val="TableParagraph"/>
        <w:ind w:right="73"/>
        <w:jc w:val="both"/>
        <w:rPr>
          <w:sz w:val="24"/>
        </w:rPr>
      </w:pPr>
    </w:p>
    <w:p w14:paraId="1584FC90" w14:textId="41F15B8C" w:rsidR="005A02C4" w:rsidRPr="00C828CE" w:rsidRDefault="00C828CE" w:rsidP="005550A6">
      <w:pPr>
        <w:pStyle w:val="TableParagraph"/>
        <w:ind w:left="0" w:right="73"/>
        <w:jc w:val="both"/>
      </w:pPr>
      <w:r w:rsidRPr="005550A6">
        <w:rPr>
          <w:sz w:val="24"/>
        </w:rPr>
        <w:t>Canto</w:t>
      </w:r>
      <w:r w:rsidR="005E242A">
        <w:rPr>
          <w:sz w:val="24"/>
        </w:rPr>
        <w:t>,</w:t>
      </w:r>
      <w:r w:rsidRPr="005550A6">
        <w:rPr>
          <w:sz w:val="24"/>
        </w:rPr>
        <w:t xml:space="preserve"> </w:t>
      </w:r>
      <w:r w:rsidR="00BF74E1" w:rsidRPr="00BF74E1">
        <w:rPr>
          <w:sz w:val="24"/>
        </w:rPr>
        <w:t xml:space="preserve">Valdes Luis, </w:t>
      </w:r>
      <w:r w:rsidRPr="00B85917">
        <w:rPr>
          <w:sz w:val="24"/>
        </w:rPr>
        <w:t xml:space="preserve">y </w:t>
      </w:r>
      <w:r w:rsidR="00AE0673">
        <w:rPr>
          <w:sz w:val="24"/>
        </w:rPr>
        <w:t xml:space="preserve">Maritel </w:t>
      </w:r>
      <w:r w:rsidRPr="00B85917">
        <w:rPr>
          <w:sz w:val="24"/>
        </w:rPr>
        <w:t>Yanes P</w:t>
      </w:r>
      <w:r w:rsidR="00AE0673">
        <w:rPr>
          <w:sz w:val="24"/>
        </w:rPr>
        <w:t>érez</w:t>
      </w:r>
      <w:r w:rsidR="002236FA">
        <w:rPr>
          <w:sz w:val="24"/>
        </w:rPr>
        <w:t xml:space="preserve">, </w:t>
      </w:r>
      <w:r w:rsidRPr="00B85917">
        <w:rPr>
          <w:sz w:val="24"/>
        </w:rPr>
        <w:t>2018</w:t>
      </w:r>
      <w:r w:rsidR="002236FA">
        <w:rPr>
          <w:sz w:val="24"/>
        </w:rPr>
        <w:t>,</w:t>
      </w:r>
      <w:r w:rsidRPr="00B85917">
        <w:rPr>
          <w:sz w:val="24"/>
        </w:rPr>
        <w:t xml:space="preserve"> “El suicidio y la melancolía en algunas haciendas</w:t>
      </w:r>
      <w:r>
        <w:rPr>
          <w:sz w:val="24"/>
        </w:rPr>
        <w:t xml:space="preserve"> p</w:t>
      </w:r>
      <w:r w:rsidRPr="00B85917">
        <w:rPr>
          <w:sz w:val="24"/>
        </w:rPr>
        <w:t>orfirianas de Yucatán</w:t>
      </w:r>
      <w:r w:rsidR="00585746">
        <w:rPr>
          <w:sz w:val="24"/>
        </w:rPr>
        <w:t>”</w:t>
      </w:r>
      <w:r w:rsidRPr="00B85917">
        <w:rPr>
          <w:sz w:val="24"/>
        </w:rPr>
        <w:t xml:space="preserve">, </w:t>
      </w:r>
      <w:r w:rsidRPr="00C828CE">
        <w:rPr>
          <w:i/>
          <w:sz w:val="24"/>
        </w:rPr>
        <w:t>LiminaR.</w:t>
      </w:r>
      <w:r>
        <w:rPr>
          <w:i/>
          <w:sz w:val="24"/>
        </w:rPr>
        <w:t xml:space="preserve">, </w:t>
      </w:r>
      <w:r w:rsidR="002236FA">
        <w:rPr>
          <w:sz w:val="24"/>
        </w:rPr>
        <w:t>v</w:t>
      </w:r>
      <w:r w:rsidRPr="00B85917">
        <w:rPr>
          <w:sz w:val="24"/>
        </w:rPr>
        <w:t xml:space="preserve">ol. XVI, </w:t>
      </w:r>
      <w:r w:rsidR="002236FA">
        <w:rPr>
          <w:sz w:val="24"/>
        </w:rPr>
        <w:t>n</w:t>
      </w:r>
      <w:r w:rsidRPr="00B85917">
        <w:rPr>
          <w:sz w:val="24"/>
        </w:rPr>
        <w:t>úm. 2</w:t>
      </w:r>
      <w:r w:rsidR="002236FA">
        <w:rPr>
          <w:sz w:val="24"/>
        </w:rPr>
        <w:t>,</w:t>
      </w:r>
      <w:r w:rsidRPr="00B85917">
        <w:rPr>
          <w:sz w:val="24"/>
        </w:rPr>
        <w:t xml:space="preserve"> Julio-diciembre, </w:t>
      </w:r>
      <w:r w:rsidR="002236FA">
        <w:rPr>
          <w:sz w:val="24"/>
        </w:rPr>
        <w:t>pp.</w:t>
      </w:r>
      <w:r w:rsidR="005550A6">
        <w:rPr>
          <w:sz w:val="24"/>
        </w:rPr>
        <w:t xml:space="preserve"> 158-169.</w:t>
      </w:r>
    </w:p>
    <w:p w14:paraId="2535AB0B" w14:textId="77777777" w:rsidR="00D67917" w:rsidRDefault="00D67917" w:rsidP="00B85917">
      <w:pPr>
        <w:jc w:val="both"/>
      </w:pPr>
    </w:p>
    <w:p w14:paraId="6DE4E3A2" w14:textId="6BEDC42B" w:rsidR="00D67917" w:rsidRDefault="00D67917" w:rsidP="00B85917">
      <w:pPr>
        <w:jc w:val="both"/>
      </w:pPr>
      <w:r>
        <w:t>Castillo</w:t>
      </w:r>
      <w:r w:rsidR="005E242A">
        <w:t>,</w:t>
      </w:r>
      <w:r>
        <w:t xml:space="preserve"> C</w:t>
      </w:r>
      <w:r w:rsidR="00E00EA6">
        <w:t>.</w:t>
      </w:r>
      <w:r>
        <w:t xml:space="preserve"> J.</w:t>
      </w:r>
      <w:r w:rsidR="000860F8">
        <w:t>,</w:t>
      </w:r>
      <w:r w:rsidR="002236FA">
        <w:t xml:space="preserve"> </w:t>
      </w:r>
      <w:r>
        <w:t>1995</w:t>
      </w:r>
      <w:r w:rsidR="002236FA">
        <w:t>,</w:t>
      </w:r>
      <w:r>
        <w:t xml:space="preserve"> </w:t>
      </w:r>
      <w:r w:rsidRPr="00DB0026">
        <w:rPr>
          <w:i/>
        </w:rPr>
        <w:t>Reclusión y control social en Yucatán. El sistema carcelario de penitenciarias 1876-1910</w:t>
      </w:r>
      <w:r>
        <w:t>. Tesis de Maestría en ciencias antropológicas en opción Etnohistoria</w:t>
      </w:r>
      <w:r w:rsidR="002236FA">
        <w:t>,</w:t>
      </w:r>
      <w:r>
        <w:t xml:space="preserve"> </w:t>
      </w:r>
      <w:r w:rsidR="002236FA">
        <w:t>Mérida, Universidad Autónoma de Yucatán</w:t>
      </w:r>
      <w:r>
        <w:t>.</w:t>
      </w:r>
    </w:p>
    <w:p w14:paraId="16EF8C41" w14:textId="77777777" w:rsidR="00D67917" w:rsidRPr="0013007C" w:rsidRDefault="00D67917" w:rsidP="00B85917">
      <w:pPr>
        <w:jc w:val="both"/>
      </w:pPr>
    </w:p>
    <w:p w14:paraId="19B0FBFA" w14:textId="77777777" w:rsidR="0013007C" w:rsidRDefault="0013007C" w:rsidP="0013007C">
      <w:pPr>
        <w:jc w:val="both"/>
        <w:rPr>
          <w:color w:val="222222"/>
          <w:shd w:val="clear" w:color="auto" w:fill="FFFFFF"/>
        </w:rPr>
      </w:pPr>
    </w:p>
    <w:p w14:paraId="5C2648DF" w14:textId="63D921BE" w:rsidR="00F542E9" w:rsidRPr="0013007C" w:rsidRDefault="00852414" w:rsidP="0013007C">
      <w:pPr>
        <w:jc w:val="both"/>
      </w:pPr>
      <w:r w:rsidRPr="00B85917">
        <w:rPr>
          <w:color w:val="222222"/>
          <w:shd w:val="clear" w:color="auto" w:fill="FFFFFF"/>
        </w:rPr>
        <w:t>Castil</w:t>
      </w:r>
      <w:r w:rsidR="00F94E75">
        <w:rPr>
          <w:color w:val="222222"/>
          <w:shd w:val="clear" w:color="auto" w:fill="FFFFFF"/>
        </w:rPr>
        <w:t>l</w:t>
      </w:r>
      <w:r w:rsidRPr="00B85917">
        <w:rPr>
          <w:color w:val="222222"/>
          <w:shd w:val="clear" w:color="auto" w:fill="FFFFFF"/>
        </w:rPr>
        <w:t>o</w:t>
      </w:r>
      <w:r w:rsidR="005E242A">
        <w:rPr>
          <w:color w:val="222222"/>
          <w:shd w:val="clear" w:color="auto" w:fill="FFFFFF"/>
        </w:rPr>
        <w:t>,</w:t>
      </w:r>
      <w:r w:rsidRPr="00B85917">
        <w:rPr>
          <w:color w:val="222222"/>
          <w:shd w:val="clear" w:color="auto" w:fill="FFFFFF"/>
        </w:rPr>
        <w:t xml:space="preserve"> </w:t>
      </w:r>
      <w:r w:rsidR="00DF7A64">
        <w:rPr>
          <w:color w:val="222222"/>
          <w:shd w:val="clear" w:color="auto" w:fill="FFFFFF"/>
        </w:rPr>
        <w:t>Jorge</w:t>
      </w:r>
      <w:r w:rsidR="00F542E9" w:rsidRPr="00B85917">
        <w:rPr>
          <w:color w:val="222222"/>
          <w:shd w:val="clear" w:color="auto" w:fill="FFFFFF"/>
        </w:rPr>
        <w:t xml:space="preserve">, y </w:t>
      </w:r>
      <w:r w:rsidRPr="00B85917">
        <w:rPr>
          <w:color w:val="222222"/>
          <w:shd w:val="clear" w:color="auto" w:fill="FFFFFF"/>
        </w:rPr>
        <w:t xml:space="preserve">Mex </w:t>
      </w:r>
      <w:r w:rsidR="00F542E9" w:rsidRPr="00B85917">
        <w:rPr>
          <w:color w:val="222222"/>
          <w:shd w:val="clear" w:color="auto" w:fill="FFFFFF"/>
        </w:rPr>
        <w:t>A</w:t>
      </w:r>
      <w:r w:rsidR="00DF7A64">
        <w:rPr>
          <w:color w:val="222222"/>
          <w:shd w:val="clear" w:color="auto" w:fill="FFFFFF"/>
        </w:rPr>
        <w:t xml:space="preserve">lbornoz </w:t>
      </w:r>
      <w:r w:rsidR="00F542E9" w:rsidRPr="00B85917">
        <w:rPr>
          <w:color w:val="222222"/>
          <w:shd w:val="clear" w:color="auto" w:fill="FFFFFF"/>
        </w:rPr>
        <w:t>M</w:t>
      </w:r>
      <w:r w:rsidR="00DF7A64">
        <w:rPr>
          <w:color w:val="222222"/>
          <w:shd w:val="clear" w:color="auto" w:fill="FFFFFF"/>
        </w:rPr>
        <w:t>ario</w:t>
      </w:r>
      <w:r w:rsidR="00005E8C">
        <w:rPr>
          <w:color w:val="222222"/>
          <w:shd w:val="clear" w:color="auto" w:fill="FFFFFF"/>
        </w:rPr>
        <w:t xml:space="preserve">, </w:t>
      </w:r>
      <w:r w:rsidR="00F542E9" w:rsidRPr="00B85917">
        <w:rPr>
          <w:color w:val="222222"/>
          <w:shd w:val="clear" w:color="auto" w:fill="FFFFFF"/>
        </w:rPr>
        <w:t>2010</w:t>
      </w:r>
      <w:r w:rsidR="00005E8C">
        <w:rPr>
          <w:color w:val="222222"/>
          <w:shd w:val="clear" w:color="auto" w:fill="FFFFFF"/>
        </w:rPr>
        <w:t>,</w:t>
      </w:r>
      <w:r w:rsidR="00F542E9" w:rsidRPr="00B85917">
        <w:rPr>
          <w:color w:val="222222"/>
          <w:shd w:val="clear" w:color="auto" w:fill="FFFFFF"/>
        </w:rPr>
        <w:t xml:space="preserve"> </w:t>
      </w:r>
      <w:r w:rsidR="00005E8C">
        <w:rPr>
          <w:color w:val="222222"/>
          <w:shd w:val="clear" w:color="auto" w:fill="FFFFFF"/>
        </w:rPr>
        <w:t>“</w:t>
      </w:r>
      <w:r w:rsidR="00F542E9" w:rsidRPr="00B85917">
        <w:rPr>
          <w:color w:val="222222"/>
          <w:shd w:val="clear" w:color="auto" w:fill="FFFFFF"/>
        </w:rPr>
        <w:t>De la nota roja al reporte de prensa en el Porfiriato yucateco</w:t>
      </w:r>
      <w:r w:rsidR="00005E8C">
        <w:rPr>
          <w:color w:val="222222"/>
          <w:shd w:val="clear" w:color="auto" w:fill="FFFFFF"/>
        </w:rPr>
        <w:t>”,</w:t>
      </w:r>
      <w:r w:rsidR="00F542E9" w:rsidRPr="00B85917">
        <w:rPr>
          <w:color w:val="222222"/>
          <w:shd w:val="clear" w:color="auto" w:fill="FFFFFF"/>
        </w:rPr>
        <w:t> </w:t>
      </w:r>
      <w:r w:rsidR="00F542E9" w:rsidRPr="00B85917">
        <w:rPr>
          <w:i/>
          <w:iCs/>
          <w:color w:val="222222"/>
          <w:shd w:val="clear" w:color="auto" w:fill="FFFFFF"/>
        </w:rPr>
        <w:t>Temas antropológicos: Revista científica de investigaciones regionales</w:t>
      </w:r>
      <w:r w:rsidR="00F542E9" w:rsidRPr="00B85917">
        <w:rPr>
          <w:color w:val="222222"/>
          <w:shd w:val="clear" w:color="auto" w:fill="FFFFFF"/>
        </w:rPr>
        <w:t>, </w:t>
      </w:r>
      <w:r w:rsidR="00005E8C">
        <w:rPr>
          <w:color w:val="222222"/>
          <w:shd w:val="clear" w:color="auto" w:fill="FFFFFF"/>
        </w:rPr>
        <w:t xml:space="preserve">vol. </w:t>
      </w:r>
      <w:r w:rsidR="00F542E9" w:rsidRPr="00DB0026">
        <w:rPr>
          <w:iCs/>
          <w:color w:val="222222"/>
          <w:shd w:val="clear" w:color="auto" w:fill="FFFFFF"/>
        </w:rPr>
        <w:t>32</w:t>
      </w:r>
      <w:r w:rsidR="00005E8C">
        <w:rPr>
          <w:iCs/>
          <w:color w:val="222222"/>
          <w:shd w:val="clear" w:color="auto" w:fill="FFFFFF"/>
        </w:rPr>
        <w:t xml:space="preserve">, num. </w:t>
      </w:r>
      <w:r w:rsidR="00F542E9" w:rsidRPr="00005E8C">
        <w:rPr>
          <w:color w:val="222222"/>
          <w:shd w:val="clear" w:color="auto" w:fill="FFFFFF"/>
        </w:rPr>
        <w:t>2,</w:t>
      </w:r>
      <w:r w:rsidR="00F542E9" w:rsidRPr="00B85917">
        <w:rPr>
          <w:color w:val="222222"/>
          <w:shd w:val="clear" w:color="auto" w:fill="FFFFFF"/>
        </w:rPr>
        <w:t xml:space="preserve"> </w:t>
      </w:r>
      <w:r w:rsidR="00005E8C">
        <w:rPr>
          <w:color w:val="222222"/>
          <w:shd w:val="clear" w:color="auto" w:fill="FFFFFF"/>
        </w:rPr>
        <w:t xml:space="preserve">pp. </w:t>
      </w:r>
      <w:r w:rsidR="00F542E9" w:rsidRPr="00B85917">
        <w:rPr>
          <w:color w:val="222222"/>
          <w:shd w:val="clear" w:color="auto" w:fill="FFFFFF"/>
        </w:rPr>
        <w:t>43-68.</w:t>
      </w:r>
    </w:p>
    <w:p w14:paraId="55E8DCCF" w14:textId="77777777" w:rsidR="00282C5E" w:rsidRPr="00B85917" w:rsidRDefault="00282C5E" w:rsidP="0013007C">
      <w:pPr>
        <w:jc w:val="both"/>
        <w:rPr>
          <w:color w:val="222222"/>
          <w:shd w:val="clear" w:color="auto" w:fill="FFFFFF"/>
        </w:rPr>
      </w:pPr>
    </w:p>
    <w:p w14:paraId="0F37F7DE" w14:textId="5E635528" w:rsidR="00852414" w:rsidRDefault="00852414" w:rsidP="00B85917">
      <w:pPr>
        <w:jc w:val="both"/>
      </w:pPr>
      <w:r w:rsidRPr="0013007C">
        <w:t>Castillo</w:t>
      </w:r>
      <w:r w:rsidR="00897064">
        <w:t>,</w:t>
      </w:r>
      <w:r w:rsidRPr="0013007C">
        <w:t xml:space="preserve"> Troncoso Alberto</w:t>
      </w:r>
      <w:r w:rsidR="00005E8C">
        <w:t>,</w:t>
      </w:r>
      <w:r w:rsidRPr="0013007C">
        <w:t xml:space="preserve"> 1998</w:t>
      </w:r>
      <w:r w:rsidR="00005E8C">
        <w:t>,</w:t>
      </w:r>
      <w:r w:rsidRPr="0013007C">
        <w:t xml:space="preserve"> “Entre la criminalidad y el orden </w:t>
      </w:r>
      <w:r w:rsidR="00256B59">
        <w:t>c</w:t>
      </w:r>
      <w:r w:rsidRPr="0013007C">
        <w:t xml:space="preserve">ívico: imágenes y representaciones de la niñez durante el Porfiriato”, </w:t>
      </w:r>
      <w:r w:rsidRPr="0013007C">
        <w:rPr>
          <w:i/>
        </w:rPr>
        <w:t xml:space="preserve">Historia </w:t>
      </w:r>
      <w:r w:rsidR="002A72B0" w:rsidRPr="0013007C">
        <w:rPr>
          <w:i/>
        </w:rPr>
        <w:t>Mexicana</w:t>
      </w:r>
      <w:r w:rsidRPr="0013007C">
        <w:rPr>
          <w:i/>
        </w:rPr>
        <w:t xml:space="preserve">, </w:t>
      </w:r>
      <w:r w:rsidR="00005E8C">
        <w:rPr>
          <w:i/>
        </w:rPr>
        <w:t xml:space="preserve">vol. </w:t>
      </w:r>
      <w:r w:rsidR="00256B59">
        <w:t>48</w:t>
      </w:r>
      <w:r w:rsidR="00005E8C">
        <w:t xml:space="preserve">, núm. </w:t>
      </w:r>
      <w:r w:rsidR="00256B59">
        <w:t>2</w:t>
      </w:r>
      <w:r w:rsidRPr="0013007C">
        <w:t xml:space="preserve">, </w:t>
      </w:r>
      <w:r w:rsidRPr="006562FC">
        <w:t>pp.</w:t>
      </w:r>
      <w:r w:rsidR="006562FC">
        <w:t xml:space="preserve"> 277-320</w:t>
      </w:r>
      <w:r w:rsidR="00005E8C">
        <w:t>.</w:t>
      </w:r>
    </w:p>
    <w:p w14:paraId="34A77FD8" w14:textId="77777777" w:rsidR="00366EFD" w:rsidRDefault="00366EFD" w:rsidP="00B85917">
      <w:pPr>
        <w:jc w:val="both"/>
      </w:pPr>
    </w:p>
    <w:p w14:paraId="19976D71" w14:textId="1D123D09" w:rsidR="005218AE" w:rsidRDefault="005218AE" w:rsidP="00B85917">
      <w:r>
        <w:t>Enciclopedia Yucatán en el tiempo</w:t>
      </w:r>
      <w:r w:rsidR="00005E8C">
        <w:t xml:space="preserve">, </w:t>
      </w:r>
      <w:r>
        <w:t>1998</w:t>
      </w:r>
      <w:r w:rsidR="00005E8C">
        <w:t>,</w:t>
      </w:r>
      <w:r>
        <w:t xml:space="preserve"> Yucatán, Impreso Cares S.A de C.V. </w:t>
      </w:r>
    </w:p>
    <w:p w14:paraId="12626F4D" w14:textId="77777777" w:rsidR="005218AE" w:rsidRDefault="005218AE" w:rsidP="00B85917"/>
    <w:p w14:paraId="18E046C8" w14:textId="781CC016" w:rsidR="00366EFD" w:rsidRPr="0013007C" w:rsidRDefault="00366EFD" w:rsidP="00B85917">
      <w:r>
        <w:t>Escoffie</w:t>
      </w:r>
      <w:r w:rsidR="00897064">
        <w:t>,</w:t>
      </w:r>
      <w:r>
        <w:t xml:space="preserve"> Z. M.</w:t>
      </w:r>
      <w:r w:rsidR="00256B59">
        <w:t>,</w:t>
      </w:r>
      <w:r>
        <w:t xml:space="preserve"> 1960</w:t>
      </w:r>
      <w:r w:rsidR="00256B59">
        <w:t>,</w:t>
      </w:r>
      <w:r>
        <w:t xml:space="preserve"> </w:t>
      </w:r>
      <w:r w:rsidRPr="00DB0026">
        <w:rPr>
          <w:i/>
        </w:rPr>
        <w:t>Hacia nuestra República</w:t>
      </w:r>
      <w:r w:rsidR="00540891">
        <w:t>,</w:t>
      </w:r>
      <w:r>
        <w:t xml:space="preserve"> Mérida, Manlio</w:t>
      </w:r>
      <w:r w:rsidR="00256B59">
        <w:t>.</w:t>
      </w:r>
    </w:p>
    <w:p w14:paraId="35BF758C" w14:textId="77777777" w:rsidR="0013007C" w:rsidRDefault="0013007C" w:rsidP="0013007C">
      <w:pPr>
        <w:jc w:val="both"/>
      </w:pPr>
    </w:p>
    <w:p w14:paraId="243F6280" w14:textId="3EF49182" w:rsidR="00324D4E" w:rsidRDefault="00324D4E" w:rsidP="00B85917">
      <w:pPr>
        <w:jc w:val="both"/>
      </w:pPr>
      <w:r>
        <w:t>Foucault, M</w:t>
      </w:r>
      <w:r w:rsidR="00540891">
        <w:t>ichel,</w:t>
      </w:r>
      <w:r>
        <w:t xml:space="preserve"> 1990</w:t>
      </w:r>
      <w:r w:rsidR="00540891">
        <w:t>,</w:t>
      </w:r>
      <w:r>
        <w:t xml:space="preserve"> </w:t>
      </w:r>
      <w:r w:rsidRPr="00DB0026">
        <w:rPr>
          <w:i/>
        </w:rPr>
        <w:t>Vigilar y Castigar. Nacimiento de la prisión</w:t>
      </w:r>
      <w:r w:rsidR="00540891">
        <w:t>,</w:t>
      </w:r>
      <w:r>
        <w:t xml:space="preserve"> México, Siglo XX Editores.</w:t>
      </w:r>
    </w:p>
    <w:p w14:paraId="295C6111" w14:textId="77777777" w:rsidR="00324D4E" w:rsidRDefault="00324D4E" w:rsidP="00524D94">
      <w:pPr>
        <w:jc w:val="both"/>
      </w:pPr>
    </w:p>
    <w:p w14:paraId="79840EAD" w14:textId="41EF333E" w:rsidR="007D6B4C" w:rsidRDefault="00852414" w:rsidP="00524D94">
      <w:pPr>
        <w:jc w:val="both"/>
      </w:pPr>
      <w:r w:rsidRPr="0013007C">
        <w:t>García, Clara Guadalupe y Solís Hernández Silvia</w:t>
      </w:r>
      <w:r w:rsidR="005341FC">
        <w:t>,</w:t>
      </w:r>
      <w:r w:rsidRPr="0013007C">
        <w:t xml:space="preserve"> 1999</w:t>
      </w:r>
      <w:r w:rsidR="005341FC">
        <w:t>,</w:t>
      </w:r>
      <w:r w:rsidRPr="0013007C">
        <w:t xml:space="preserve"> </w:t>
      </w:r>
      <w:r w:rsidRPr="0013007C">
        <w:rPr>
          <w:i/>
        </w:rPr>
        <w:t xml:space="preserve">La nota roja en México </w:t>
      </w:r>
      <w:r w:rsidRPr="0013007C">
        <w:t>(1934-1985)</w:t>
      </w:r>
      <w:r w:rsidR="005341FC">
        <w:t>,</w:t>
      </w:r>
      <w:r w:rsidRPr="0013007C">
        <w:t xml:space="preserve">  México, Editorial CEHIPO</w:t>
      </w:r>
      <w:r w:rsidR="005341FC">
        <w:t>.</w:t>
      </w:r>
    </w:p>
    <w:p w14:paraId="3901C2FE" w14:textId="77777777" w:rsidR="007D6B4C" w:rsidRDefault="007D6B4C" w:rsidP="00524D94">
      <w:pPr>
        <w:jc w:val="both"/>
      </w:pPr>
    </w:p>
    <w:p w14:paraId="6BBFEBAE" w14:textId="7D0A4551" w:rsidR="003B3B9B" w:rsidRDefault="003B3B9B" w:rsidP="00524D94">
      <w:pPr>
        <w:jc w:val="both"/>
        <w:rPr>
          <w:color w:val="222222"/>
          <w:shd w:val="clear" w:color="auto" w:fill="FFFFFF"/>
        </w:rPr>
      </w:pPr>
      <w:r w:rsidRPr="00B85917">
        <w:rPr>
          <w:color w:val="222222"/>
          <w:shd w:val="clear" w:color="auto" w:fill="FFFFFF"/>
        </w:rPr>
        <w:t>Darnton, Robert</w:t>
      </w:r>
      <w:r w:rsidR="003851B8">
        <w:rPr>
          <w:color w:val="222222"/>
          <w:shd w:val="clear" w:color="auto" w:fill="FFFFFF"/>
        </w:rPr>
        <w:t>,</w:t>
      </w:r>
      <w:r w:rsidRPr="00B85917">
        <w:rPr>
          <w:color w:val="222222"/>
          <w:shd w:val="clear" w:color="auto" w:fill="FFFFFF"/>
        </w:rPr>
        <w:t xml:space="preserve"> 1987</w:t>
      </w:r>
      <w:r w:rsidR="003851B8">
        <w:rPr>
          <w:color w:val="222222"/>
          <w:shd w:val="clear" w:color="auto" w:fill="FFFFFF"/>
        </w:rPr>
        <w:t>,</w:t>
      </w:r>
      <w:r w:rsidRPr="00B85917">
        <w:rPr>
          <w:color w:val="222222"/>
          <w:shd w:val="clear" w:color="auto" w:fill="FFFFFF"/>
        </w:rPr>
        <w:t xml:space="preserve"> </w:t>
      </w:r>
      <w:r w:rsidRPr="00B85917">
        <w:rPr>
          <w:i/>
          <w:color w:val="222222"/>
          <w:shd w:val="clear" w:color="auto" w:fill="FFFFFF"/>
        </w:rPr>
        <w:t>La gran matanza de gatos y otros episodios en la historia de la cultura francesa</w:t>
      </w:r>
      <w:r w:rsidR="003851B8">
        <w:rPr>
          <w:color w:val="222222"/>
          <w:shd w:val="clear" w:color="auto" w:fill="FFFFFF"/>
        </w:rPr>
        <w:t>,</w:t>
      </w:r>
      <w:r w:rsidRPr="00B85917">
        <w:rPr>
          <w:color w:val="222222"/>
          <w:shd w:val="clear" w:color="auto" w:fill="FFFFFF"/>
        </w:rPr>
        <w:t xml:space="preserve"> </w:t>
      </w:r>
      <w:r w:rsidR="003851B8" w:rsidRPr="00B85917">
        <w:rPr>
          <w:color w:val="222222"/>
          <w:shd w:val="clear" w:color="auto" w:fill="FFFFFF"/>
        </w:rPr>
        <w:t>México</w:t>
      </w:r>
      <w:r w:rsidR="003851B8">
        <w:rPr>
          <w:color w:val="222222"/>
          <w:shd w:val="clear" w:color="auto" w:fill="FFFFFF"/>
        </w:rPr>
        <w:t>,</w:t>
      </w:r>
      <w:r w:rsidR="003851B8" w:rsidRPr="00B85917">
        <w:rPr>
          <w:color w:val="222222"/>
          <w:shd w:val="clear" w:color="auto" w:fill="FFFFFF"/>
        </w:rPr>
        <w:t xml:space="preserve"> </w:t>
      </w:r>
      <w:r w:rsidRPr="00B85917">
        <w:rPr>
          <w:color w:val="222222"/>
          <w:shd w:val="clear" w:color="auto" w:fill="FFFFFF"/>
        </w:rPr>
        <w:t>Fondo de Cultura Económica.</w:t>
      </w:r>
    </w:p>
    <w:p w14:paraId="4FFFEA3A" w14:textId="77777777" w:rsidR="004D54AA" w:rsidRDefault="004D54AA" w:rsidP="00524D94">
      <w:pPr>
        <w:jc w:val="both"/>
        <w:rPr>
          <w:color w:val="222222"/>
          <w:shd w:val="clear" w:color="auto" w:fill="FFFFFF"/>
        </w:rPr>
      </w:pPr>
    </w:p>
    <w:p w14:paraId="15DF4558" w14:textId="3DCC4ABA" w:rsidR="004D54AA" w:rsidRPr="007D6B4C" w:rsidRDefault="004D54AA" w:rsidP="00B85917">
      <w:pPr>
        <w:jc w:val="both"/>
      </w:pPr>
      <w:r w:rsidRPr="007D6B4C">
        <w:t>González</w:t>
      </w:r>
      <w:r w:rsidR="00897064">
        <w:t>,</w:t>
      </w:r>
      <w:r w:rsidRPr="007D6B4C">
        <w:t xml:space="preserve"> Navarro Moisés</w:t>
      </w:r>
      <w:r w:rsidR="003851B8">
        <w:t>,</w:t>
      </w:r>
      <w:r w:rsidRPr="007D6B4C">
        <w:t xml:space="preserve"> 1970</w:t>
      </w:r>
      <w:r w:rsidR="003851B8">
        <w:t>,</w:t>
      </w:r>
      <w:r w:rsidRPr="007D6B4C">
        <w:t xml:space="preserve">  </w:t>
      </w:r>
      <w:r w:rsidRPr="00DB0026">
        <w:rPr>
          <w:i/>
        </w:rPr>
        <w:t>Historia moderna de México. El Porfiriato. La vida social</w:t>
      </w:r>
      <w:r w:rsidRPr="007D6B4C">
        <w:t>, T. IV, México, Hermes.</w:t>
      </w:r>
    </w:p>
    <w:p w14:paraId="4B94A722" w14:textId="11BC4473" w:rsidR="004D54AA" w:rsidRPr="007D6B4C" w:rsidRDefault="004D54AA" w:rsidP="00B85917">
      <w:pPr>
        <w:jc w:val="both"/>
      </w:pPr>
      <w:r w:rsidRPr="007D6B4C">
        <w:t>-1970</w:t>
      </w:r>
      <w:r w:rsidR="003851B8">
        <w:t>,</w:t>
      </w:r>
      <w:r w:rsidRPr="007D6B4C">
        <w:t xml:space="preserve"> </w:t>
      </w:r>
      <w:r w:rsidRPr="00DB0026">
        <w:rPr>
          <w:i/>
        </w:rPr>
        <w:t>Raza y tierra. La Guerra de castas y el henequén</w:t>
      </w:r>
      <w:r w:rsidRPr="007D6B4C">
        <w:t>, México, El Colegio de</w:t>
      </w:r>
    </w:p>
    <w:p w14:paraId="20DCA1FD" w14:textId="77777777" w:rsidR="004D54AA" w:rsidRPr="007D6B4C" w:rsidRDefault="004D54AA" w:rsidP="004D54AA">
      <w:r w:rsidRPr="007D6B4C">
        <w:t>México.</w:t>
      </w:r>
    </w:p>
    <w:p w14:paraId="69AD6B4D" w14:textId="7E9AAFC3" w:rsidR="004D54AA" w:rsidRDefault="004D54AA" w:rsidP="004D54AA">
      <w:r w:rsidRPr="007D6B4C">
        <w:t>-1994</w:t>
      </w:r>
      <w:r w:rsidR="003851B8">
        <w:t>,</w:t>
      </w:r>
      <w:r w:rsidRPr="007D6B4C">
        <w:t xml:space="preserve"> </w:t>
      </w:r>
      <w:r w:rsidRPr="00DB0026">
        <w:rPr>
          <w:i/>
        </w:rPr>
        <w:t>Sociedad y cultura en el Porfiriato</w:t>
      </w:r>
      <w:r w:rsidR="003851B8">
        <w:t>,</w:t>
      </w:r>
      <w:r w:rsidRPr="007D6B4C">
        <w:t xml:space="preserve"> México, SEP-Cien de México.</w:t>
      </w:r>
    </w:p>
    <w:p w14:paraId="28D31ED2" w14:textId="77777777" w:rsidR="00D67917" w:rsidRDefault="00D67917" w:rsidP="00524D94">
      <w:pPr>
        <w:jc w:val="both"/>
        <w:rPr>
          <w:color w:val="222222"/>
          <w:shd w:val="clear" w:color="auto" w:fill="FFFFFF"/>
        </w:rPr>
      </w:pPr>
    </w:p>
    <w:p w14:paraId="09D8F059" w14:textId="1615A648" w:rsidR="00D67917" w:rsidRDefault="00D67917" w:rsidP="00D67917">
      <w:r w:rsidRPr="00D67917">
        <w:t>Kenneth</w:t>
      </w:r>
      <w:r w:rsidR="00897064">
        <w:t>,</w:t>
      </w:r>
      <w:r w:rsidRPr="00D67917">
        <w:t xml:space="preserve"> Turner J.</w:t>
      </w:r>
      <w:r w:rsidR="008B47DA">
        <w:t>,</w:t>
      </w:r>
      <w:r w:rsidRPr="00B85917">
        <w:t xml:space="preserve"> </w:t>
      </w:r>
      <w:r w:rsidRPr="00D67917">
        <w:t>1993</w:t>
      </w:r>
      <w:r w:rsidR="008B47DA">
        <w:t>,</w:t>
      </w:r>
      <w:r w:rsidRPr="00D67917">
        <w:t xml:space="preserve"> </w:t>
      </w:r>
      <w:r w:rsidRPr="00DB0026">
        <w:rPr>
          <w:i/>
        </w:rPr>
        <w:t>México bárbaro</w:t>
      </w:r>
      <w:r w:rsidR="008B47DA">
        <w:t>,</w:t>
      </w:r>
      <w:r w:rsidRPr="00D67917">
        <w:t xml:space="preserve"> </w:t>
      </w:r>
      <w:r>
        <w:t>México, Ediciones Quinto Sol.</w:t>
      </w:r>
    </w:p>
    <w:p w14:paraId="6606EEC9" w14:textId="77777777" w:rsidR="003B3B9B" w:rsidRPr="00B85917" w:rsidRDefault="003B3B9B">
      <w:pPr>
        <w:jc w:val="both"/>
        <w:rPr>
          <w:color w:val="222222"/>
          <w:shd w:val="clear" w:color="auto" w:fill="FFFFFF"/>
        </w:rPr>
      </w:pPr>
    </w:p>
    <w:p w14:paraId="616BCD5D" w14:textId="3D55C748" w:rsidR="00282C5E" w:rsidRPr="0013007C" w:rsidRDefault="00282C5E">
      <w:pPr>
        <w:jc w:val="both"/>
      </w:pPr>
      <w:r w:rsidRPr="00B85917">
        <w:rPr>
          <w:color w:val="222222"/>
          <w:shd w:val="clear" w:color="auto" w:fill="FFFFFF"/>
        </w:rPr>
        <w:t>Klahr, M. Lara y Barata Francesc</w:t>
      </w:r>
      <w:r w:rsidR="000869FC">
        <w:rPr>
          <w:color w:val="222222"/>
          <w:shd w:val="clear" w:color="auto" w:fill="FFFFFF"/>
        </w:rPr>
        <w:t>,</w:t>
      </w:r>
      <w:r w:rsidRPr="00B85917">
        <w:rPr>
          <w:color w:val="222222"/>
          <w:shd w:val="clear" w:color="auto" w:fill="FFFFFF"/>
        </w:rPr>
        <w:t xml:space="preserve"> 2009</w:t>
      </w:r>
      <w:r w:rsidR="000869FC">
        <w:rPr>
          <w:color w:val="222222"/>
          <w:shd w:val="clear" w:color="auto" w:fill="FFFFFF"/>
        </w:rPr>
        <w:t>,</w:t>
      </w:r>
      <w:r w:rsidRPr="00B85917">
        <w:rPr>
          <w:color w:val="222222"/>
          <w:shd w:val="clear" w:color="auto" w:fill="FFFFFF"/>
        </w:rPr>
        <w:t> </w:t>
      </w:r>
      <w:r w:rsidRPr="00B85917">
        <w:rPr>
          <w:i/>
          <w:iCs/>
          <w:color w:val="222222"/>
          <w:shd w:val="clear" w:color="auto" w:fill="FFFFFF"/>
        </w:rPr>
        <w:t>Nota (n) roja: la vibrante historia de un género y una nueva manera de informar</w:t>
      </w:r>
      <w:r w:rsidR="001305AC">
        <w:rPr>
          <w:color w:val="222222"/>
          <w:shd w:val="clear" w:color="auto" w:fill="FFFFFF"/>
        </w:rPr>
        <w:t>,</w:t>
      </w:r>
      <w:r w:rsidRPr="00B85917">
        <w:rPr>
          <w:color w:val="222222"/>
          <w:shd w:val="clear" w:color="auto" w:fill="FFFFFF"/>
        </w:rPr>
        <w:t xml:space="preserve"> </w:t>
      </w:r>
      <w:r w:rsidR="001305AC" w:rsidRPr="00B85917">
        <w:rPr>
          <w:color w:val="222222"/>
          <w:shd w:val="clear" w:color="auto" w:fill="FFFFFF"/>
        </w:rPr>
        <w:t>Ciudad de México</w:t>
      </w:r>
      <w:r w:rsidR="001305AC">
        <w:rPr>
          <w:color w:val="222222"/>
          <w:shd w:val="clear" w:color="auto" w:fill="FFFFFF"/>
        </w:rPr>
        <w:t>,</w:t>
      </w:r>
      <w:r w:rsidR="001305AC" w:rsidRPr="00B85917">
        <w:rPr>
          <w:color w:val="222222"/>
          <w:shd w:val="clear" w:color="auto" w:fill="FFFFFF"/>
        </w:rPr>
        <w:t xml:space="preserve"> </w:t>
      </w:r>
      <w:r w:rsidRPr="00B85917">
        <w:rPr>
          <w:color w:val="222222"/>
          <w:shd w:val="clear" w:color="auto" w:fill="FFFFFF"/>
        </w:rPr>
        <w:t>Random House Mandadori.</w:t>
      </w:r>
    </w:p>
    <w:p w14:paraId="7FB2434C" w14:textId="77777777" w:rsidR="00282C5E" w:rsidRPr="0013007C" w:rsidRDefault="00282C5E">
      <w:pPr>
        <w:jc w:val="both"/>
      </w:pPr>
    </w:p>
    <w:p w14:paraId="157C3EF1" w14:textId="2D492900" w:rsidR="00D25A5D" w:rsidRDefault="00D25A5D" w:rsidP="00D25A5D">
      <w:pPr>
        <w:jc w:val="both"/>
        <w:rPr>
          <w:i/>
          <w:iCs/>
          <w:color w:val="222222"/>
          <w:shd w:val="clear" w:color="auto" w:fill="FFFFFF"/>
        </w:rPr>
      </w:pPr>
      <w:r w:rsidRPr="00B85917">
        <w:rPr>
          <w:color w:val="222222"/>
          <w:shd w:val="clear" w:color="auto" w:fill="FFFFFF"/>
        </w:rPr>
        <w:t>Lombardo</w:t>
      </w:r>
      <w:r w:rsidR="00897064">
        <w:rPr>
          <w:color w:val="222222"/>
          <w:shd w:val="clear" w:color="auto" w:fill="FFFFFF"/>
        </w:rPr>
        <w:t>,</w:t>
      </w:r>
      <w:r w:rsidRPr="00B85917">
        <w:rPr>
          <w:color w:val="222222"/>
          <w:shd w:val="clear" w:color="auto" w:fill="FFFFFF"/>
        </w:rPr>
        <w:t xml:space="preserve"> García I.</w:t>
      </w:r>
      <w:r w:rsidR="001305AC">
        <w:rPr>
          <w:color w:val="222222"/>
          <w:shd w:val="clear" w:color="auto" w:fill="FFFFFF"/>
        </w:rPr>
        <w:t>,</w:t>
      </w:r>
      <w:r w:rsidRPr="00B85917">
        <w:rPr>
          <w:color w:val="222222"/>
          <w:shd w:val="clear" w:color="auto" w:fill="FFFFFF"/>
        </w:rPr>
        <w:t xml:space="preserve"> 1998</w:t>
      </w:r>
      <w:r w:rsidR="001305AC">
        <w:rPr>
          <w:color w:val="222222"/>
          <w:shd w:val="clear" w:color="auto" w:fill="FFFFFF"/>
        </w:rPr>
        <w:t>,</w:t>
      </w:r>
      <w:r w:rsidRPr="00B85917">
        <w:rPr>
          <w:color w:val="222222"/>
          <w:shd w:val="clear" w:color="auto" w:fill="FFFFFF"/>
        </w:rPr>
        <w:t xml:space="preserve"> </w:t>
      </w:r>
      <w:r>
        <w:rPr>
          <w:color w:val="222222"/>
          <w:shd w:val="clear" w:color="auto" w:fill="FFFFFF"/>
        </w:rPr>
        <w:t>“</w:t>
      </w:r>
      <w:r w:rsidRPr="00B85917">
        <w:rPr>
          <w:color w:val="222222"/>
          <w:shd w:val="clear" w:color="auto" w:fill="FFFFFF"/>
        </w:rPr>
        <w:t>La figura del reportero mexicano</w:t>
      </w:r>
      <w:r>
        <w:rPr>
          <w:color w:val="222222"/>
          <w:shd w:val="clear" w:color="auto" w:fill="FFFFFF"/>
        </w:rPr>
        <w:t>”, en</w:t>
      </w:r>
      <w:r w:rsidRPr="00B85917">
        <w:rPr>
          <w:color w:val="222222"/>
          <w:shd w:val="clear" w:color="auto" w:fill="FFFFFF"/>
        </w:rPr>
        <w:t> </w:t>
      </w:r>
      <w:r>
        <w:rPr>
          <w:color w:val="222222"/>
          <w:shd w:val="clear" w:color="auto" w:fill="FFFFFF"/>
        </w:rPr>
        <w:t>Aguilar Plata, Blanca y Navarrete Maya, Blanca</w:t>
      </w:r>
      <w:r w:rsidR="001305AC">
        <w:rPr>
          <w:color w:val="222222"/>
          <w:shd w:val="clear" w:color="auto" w:fill="FFFFFF"/>
        </w:rPr>
        <w:t>,</w:t>
      </w:r>
      <w:r>
        <w:rPr>
          <w:color w:val="222222"/>
          <w:shd w:val="clear" w:color="auto" w:fill="FFFFFF"/>
        </w:rPr>
        <w:t xml:space="preserve"> </w:t>
      </w:r>
      <w:r>
        <w:rPr>
          <w:i/>
          <w:iCs/>
          <w:color w:val="222222"/>
          <w:shd w:val="clear" w:color="auto" w:fill="FFFFFF"/>
        </w:rPr>
        <w:t xml:space="preserve"> </w:t>
      </w:r>
      <w:r w:rsidRPr="00B85917">
        <w:rPr>
          <w:i/>
          <w:iCs/>
          <w:color w:val="222222"/>
          <w:shd w:val="clear" w:color="auto" w:fill="FFFFFF"/>
        </w:rPr>
        <w:t xml:space="preserve">La prensa en México. Momentos y figuras relevantes (1810-1915), </w:t>
      </w:r>
      <w:r w:rsidR="001305AC" w:rsidRPr="00FB2653">
        <w:rPr>
          <w:iCs/>
          <w:color w:val="222222"/>
          <w:shd w:val="clear" w:color="auto" w:fill="FFFFFF"/>
        </w:rPr>
        <w:t>México</w:t>
      </w:r>
      <w:r w:rsidR="001305AC">
        <w:rPr>
          <w:iCs/>
          <w:color w:val="222222"/>
          <w:shd w:val="clear" w:color="auto" w:fill="FFFFFF"/>
        </w:rPr>
        <w:t>,</w:t>
      </w:r>
      <w:r w:rsidR="001305AC" w:rsidRPr="001305AC">
        <w:rPr>
          <w:iCs/>
          <w:color w:val="222222"/>
          <w:shd w:val="clear" w:color="auto" w:fill="FFFFFF"/>
        </w:rPr>
        <w:t xml:space="preserve"> </w:t>
      </w:r>
      <w:r w:rsidRPr="00DB0026">
        <w:rPr>
          <w:iCs/>
          <w:color w:val="222222"/>
          <w:shd w:val="clear" w:color="auto" w:fill="FFFFFF"/>
        </w:rPr>
        <w:t>Addison Wesley Longman,</w:t>
      </w:r>
      <w:r>
        <w:rPr>
          <w:i/>
          <w:iCs/>
          <w:color w:val="222222"/>
          <w:shd w:val="clear" w:color="auto" w:fill="FFFFFF"/>
        </w:rPr>
        <w:t xml:space="preserve"> </w:t>
      </w:r>
      <w:r>
        <w:rPr>
          <w:color w:val="222222"/>
          <w:shd w:val="clear" w:color="auto" w:fill="FFFFFF"/>
        </w:rPr>
        <w:t>pp. 123-140</w:t>
      </w:r>
      <w:r w:rsidR="001305AC">
        <w:rPr>
          <w:color w:val="222222"/>
          <w:shd w:val="clear" w:color="auto" w:fill="FFFFFF"/>
        </w:rPr>
        <w:t>.</w:t>
      </w:r>
    </w:p>
    <w:p w14:paraId="5A875560" w14:textId="77777777" w:rsidR="00D25A5D" w:rsidRPr="00B85917" w:rsidRDefault="00D25A5D" w:rsidP="00D25A5D">
      <w:pPr>
        <w:jc w:val="both"/>
        <w:rPr>
          <w:i/>
          <w:iCs/>
          <w:color w:val="222222"/>
          <w:shd w:val="clear" w:color="auto" w:fill="FFFFFF"/>
        </w:rPr>
      </w:pPr>
    </w:p>
    <w:p w14:paraId="14E33C10" w14:textId="7B5782BA" w:rsidR="00D25A5D" w:rsidRDefault="00D25A5D" w:rsidP="00D25A5D">
      <w:pPr>
        <w:jc w:val="both"/>
      </w:pPr>
      <w:r>
        <w:t>Palma</w:t>
      </w:r>
      <w:r w:rsidR="00200E23">
        <w:t>,</w:t>
      </w:r>
      <w:r>
        <w:t xml:space="preserve"> P. M.</w:t>
      </w:r>
      <w:r w:rsidR="00200E23">
        <w:t>,</w:t>
      </w:r>
      <w:r>
        <w:t xml:space="preserve"> 1977</w:t>
      </w:r>
      <w:r w:rsidR="00200E23">
        <w:t>,</w:t>
      </w:r>
      <w:r>
        <w:t xml:space="preserve"> </w:t>
      </w:r>
      <w:r w:rsidRPr="00DB0026">
        <w:rPr>
          <w:i/>
        </w:rPr>
        <w:t>Breve historia de la industria henequenera de Yucatán. Su principio, desarrollo, auge y decadencia. Planes para su posible rehabilitación. 1800-1977</w:t>
      </w:r>
      <w:r>
        <w:t>. Yucatán, Editorial Zamná.</w:t>
      </w:r>
    </w:p>
    <w:p w14:paraId="6C83F2C6" w14:textId="77777777" w:rsidR="00D25A5D" w:rsidRPr="0013007C" w:rsidRDefault="00D25A5D" w:rsidP="00D25A5D">
      <w:pPr>
        <w:jc w:val="both"/>
      </w:pPr>
    </w:p>
    <w:p w14:paraId="1D058247" w14:textId="494819A7" w:rsidR="00D25A5D" w:rsidRDefault="00D25A5D" w:rsidP="00D25A5D">
      <w:pPr>
        <w:jc w:val="both"/>
      </w:pPr>
      <w:r>
        <w:t>Peniche</w:t>
      </w:r>
      <w:r w:rsidR="00F7132E">
        <w:t>,</w:t>
      </w:r>
      <w:r>
        <w:t xml:space="preserve"> R. P.</w:t>
      </w:r>
      <w:r w:rsidR="00F7132E">
        <w:t>,</w:t>
      </w:r>
      <w:r>
        <w:t xml:space="preserve"> 1990</w:t>
      </w:r>
      <w:r w:rsidR="00F7132E">
        <w:t>,</w:t>
      </w:r>
      <w:r>
        <w:t xml:space="preserve"> “Mujeres, intercambios matrimoniales y esclavitud durante el Porfiriato, 1880-1900”, en Baños Ramírez Othón (Editor)</w:t>
      </w:r>
      <w:r w:rsidR="00F7132E">
        <w:t>,</w:t>
      </w:r>
      <w:r>
        <w:t xml:space="preserve"> </w:t>
      </w:r>
      <w:r w:rsidRPr="00DB0026">
        <w:rPr>
          <w:i/>
        </w:rPr>
        <w:t>Sociedad, estructura agraria y estado en Yucatán</w:t>
      </w:r>
      <w:r>
        <w:t>. Mérida, Universidad Autónoma de Yucatán</w:t>
      </w:r>
      <w:r w:rsidR="00DB0026">
        <w:t>.</w:t>
      </w:r>
    </w:p>
    <w:p w14:paraId="188026A6" w14:textId="77777777" w:rsidR="00316641" w:rsidRDefault="00316641" w:rsidP="00B85917">
      <w:pPr>
        <w:jc w:val="both"/>
      </w:pPr>
    </w:p>
    <w:p w14:paraId="3F77FE41" w14:textId="756C656A" w:rsidR="00316641" w:rsidRDefault="00316641" w:rsidP="00B85917">
      <w:pPr>
        <w:jc w:val="both"/>
        <w:rPr>
          <w:sz w:val="22"/>
          <w:szCs w:val="22"/>
        </w:rPr>
      </w:pPr>
      <w:r>
        <w:t>Pérez de Sarmiento, M.</w:t>
      </w:r>
      <w:r w:rsidR="00351C02">
        <w:t xml:space="preserve">, </w:t>
      </w:r>
      <w:r>
        <w:t>2002</w:t>
      </w:r>
      <w:r w:rsidR="00351C02">
        <w:t>,</w:t>
      </w:r>
      <w:r>
        <w:t xml:space="preserve"> </w:t>
      </w:r>
      <w:r w:rsidRPr="00DB0026">
        <w:rPr>
          <w:i/>
        </w:rPr>
        <w:t>Historia de una elección. La candidatura de Olegario Molina</w:t>
      </w:r>
      <w:r w:rsidR="00351C02">
        <w:t>,</w:t>
      </w:r>
      <w:r>
        <w:t xml:space="preserve"> Mérida, Universidad Autónoma de Yucatán. </w:t>
      </w:r>
    </w:p>
    <w:p w14:paraId="07577591" w14:textId="77777777" w:rsidR="00316641" w:rsidRDefault="00316641" w:rsidP="00B85917">
      <w:pPr>
        <w:jc w:val="both"/>
      </w:pPr>
    </w:p>
    <w:p w14:paraId="3C7C53B1" w14:textId="2BB9F60A" w:rsidR="00450907" w:rsidRPr="001333C0" w:rsidRDefault="00450907" w:rsidP="00B85917">
      <w:pPr>
        <w:jc w:val="both"/>
      </w:pPr>
      <w:r w:rsidRPr="0013007C">
        <w:t>Piccato, P</w:t>
      </w:r>
      <w:r w:rsidR="00C54E88">
        <w:t>ablo</w:t>
      </w:r>
      <w:r w:rsidR="00351C02">
        <w:t>,</w:t>
      </w:r>
      <w:r w:rsidRPr="0013007C">
        <w:t xml:space="preserve"> 1997</w:t>
      </w:r>
      <w:r w:rsidR="00351C02">
        <w:t>,</w:t>
      </w:r>
      <w:r w:rsidRPr="00606CDF">
        <w:t xml:space="preserve"> </w:t>
      </w:r>
      <w:r w:rsidR="004D6C40">
        <w:t>“</w:t>
      </w:r>
      <w:r w:rsidRPr="00606CDF">
        <w:t>La construcción de una perspectiva científica: miradas porfirianas a la criminalidad</w:t>
      </w:r>
      <w:r w:rsidR="004D6C40">
        <w:t>”</w:t>
      </w:r>
      <w:r w:rsidRPr="00606CDF">
        <w:t xml:space="preserve">, </w:t>
      </w:r>
      <w:r w:rsidRPr="001333C0">
        <w:rPr>
          <w:i/>
        </w:rPr>
        <w:t xml:space="preserve">Revista de Historia Mexicana, </w:t>
      </w:r>
      <w:r w:rsidR="00351C02">
        <w:t>vol. 47, núm, 1</w:t>
      </w:r>
      <w:r w:rsidRPr="001333C0">
        <w:t>,</w:t>
      </w:r>
      <w:r w:rsidR="00351C02">
        <w:t xml:space="preserve"> pp.</w:t>
      </w:r>
      <w:r w:rsidRPr="001333C0">
        <w:t xml:space="preserve"> 133-181</w:t>
      </w:r>
      <w:r w:rsidR="00351C02">
        <w:t>.</w:t>
      </w:r>
      <w:r w:rsidRPr="001333C0">
        <w:t xml:space="preserve"> </w:t>
      </w:r>
    </w:p>
    <w:p w14:paraId="43BDBAE7" w14:textId="77777777" w:rsidR="00852414" w:rsidRPr="0013007C" w:rsidRDefault="00852414" w:rsidP="00B85917">
      <w:pPr>
        <w:jc w:val="both"/>
      </w:pPr>
    </w:p>
    <w:p w14:paraId="2E23C8D2" w14:textId="2C6C5F74" w:rsidR="0076195F" w:rsidRDefault="0076195F" w:rsidP="00B85917">
      <w:pPr>
        <w:jc w:val="both"/>
      </w:pPr>
      <w:r w:rsidRPr="0013007C">
        <w:t xml:space="preserve">Piccato, </w:t>
      </w:r>
      <w:r w:rsidR="00450907" w:rsidRPr="0013007C">
        <w:t>P</w:t>
      </w:r>
      <w:r w:rsidR="00C54E88">
        <w:t>ablo</w:t>
      </w:r>
      <w:r w:rsidR="00351C02">
        <w:t>,</w:t>
      </w:r>
      <w:r w:rsidR="00450907" w:rsidRPr="0013007C">
        <w:t xml:space="preserve"> </w:t>
      </w:r>
      <w:r w:rsidRPr="0013007C">
        <w:t>2010</w:t>
      </w:r>
      <w:r w:rsidR="00351C02">
        <w:t>,</w:t>
      </w:r>
      <w:r w:rsidRPr="0013007C">
        <w:t xml:space="preserve"> </w:t>
      </w:r>
      <w:r w:rsidRPr="0013007C">
        <w:rPr>
          <w:i/>
        </w:rPr>
        <w:t>Ciudad de sospechosos. Crimen en la Ciudad de México 1900-1931.</w:t>
      </w:r>
      <w:r w:rsidRPr="0013007C">
        <w:t xml:space="preserve"> México</w:t>
      </w:r>
      <w:r w:rsidR="00351C02">
        <w:t>,</w:t>
      </w:r>
      <w:r w:rsidRPr="0013007C">
        <w:t xml:space="preserve"> C</w:t>
      </w:r>
      <w:r w:rsidR="006B1D4C">
        <w:t xml:space="preserve">entro de </w:t>
      </w:r>
      <w:r w:rsidRPr="0013007C">
        <w:t>I</w:t>
      </w:r>
      <w:r w:rsidR="006B1D4C">
        <w:t xml:space="preserve">nvestigación y </w:t>
      </w:r>
      <w:r w:rsidRPr="0013007C">
        <w:t>E</w:t>
      </w:r>
      <w:r w:rsidR="006B1D4C">
        <w:t xml:space="preserve">studios </w:t>
      </w:r>
      <w:r w:rsidRPr="0013007C">
        <w:t>S</w:t>
      </w:r>
      <w:r w:rsidR="006B1D4C">
        <w:t xml:space="preserve">uperiores en </w:t>
      </w:r>
      <w:r w:rsidRPr="0013007C">
        <w:t>A</w:t>
      </w:r>
      <w:r w:rsidR="006B1D4C">
        <w:t xml:space="preserve">ntropología </w:t>
      </w:r>
      <w:r w:rsidRPr="0013007C">
        <w:t>S</w:t>
      </w:r>
      <w:r w:rsidR="006B1D4C">
        <w:t>ocial</w:t>
      </w:r>
      <w:r w:rsidRPr="0013007C">
        <w:t>.</w:t>
      </w:r>
    </w:p>
    <w:p w14:paraId="42FB56A7" w14:textId="77777777" w:rsidR="001333C0" w:rsidRDefault="001333C0" w:rsidP="00B85917">
      <w:pPr>
        <w:jc w:val="both"/>
      </w:pPr>
    </w:p>
    <w:p w14:paraId="3F3812E5" w14:textId="4C74520C" w:rsidR="001333C0" w:rsidRDefault="001333C0" w:rsidP="00B85917">
      <w:pPr>
        <w:jc w:val="both"/>
      </w:pPr>
      <w:r>
        <w:t>Rodríguez</w:t>
      </w:r>
      <w:r w:rsidR="006B1D4C">
        <w:t>,</w:t>
      </w:r>
      <w:r w:rsidR="00C54E88">
        <w:t xml:space="preserve"> Centeno Mabel</w:t>
      </w:r>
      <w:r w:rsidR="006B1D4C">
        <w:t>,</w:t>
      </w:r>
      <w:r>
        <w:t xml:space="preserve"> 1997</w:t>
      </w:r>
      <w:r w:rsidR="006B1D4C">
        <w:t>,</w:t>
      </w:r>
      <w:r>
        <w:t xml:space="preserve"> </w:t>
      </w:r>
      <w:r w:rsidR="004D6C40">
        <w:t>“</w:t>
      </w:r>
      <w:r>
        <w:t>Borrachera y vagancia: argumentos sobre marginalidades económica y moral de los peones en los congresos agrícolas mexicanos del cambio de siglo</w:t>
      </w:r>
      <w:r w:rsidR="004D6C40">
        <w:t>”</w:t>
      </w:r>
      <w:r>
        <w:t>,</w:t>
      </w:r>
      <w:r w:rsidR="006B1D4C">
        <w:t xml:space="preserve"> </w:t>
      </w:r>
      <w:r w:rsidR="0036286D" w:rsidRPr="001333C0">
        <w:rPr>
          <w:i/>
        </w:rPr>
        <w:t xml:space="preserve">Revista de Historia Mexicana, </w:t>
      </w:r>
      <w:r w:rsidR="006B1D4C">
        <w:t xml:space="preserve">vol. 47, núm, 1, pp. </w:t>
      </w:r>
      <w:r w:rsidR="0036286D" w:rsidRPr="001333C0">
        <w:t>1</w:t>
      </w:r>
      <w:r w:rsidR="0036286D">
        <w:t>03</w:t>
      </w:r>
      <w:r w:rsidR="0036286D" w:rsidRPr="001333C0">
        <w:t>-1</w:t>
      </w:r>
      <w:r w:rsidR="0036286D">
        <w:t>31</w:t>
      </w:r>
      <w:r w:rsidR="00DD7F9D">
        <w:t>.</w:t>
      </w:r>
    </w:p>
    <w:p w14:paraId="24CAE1FD" w14:textId="77777777" w:rsidR="00DD7F9D" w:rsidRDefault="00DD7F9D" w:rsidP="00B85917">
      <w:pPr>
        <w:jc w:val="both"/>
      </w:pPr>
    </w:p>
    <w:p w14:paraId="164C6D45" w14:textId="49274086" w:rsidR="00DD7F9D" w:rsidRDefault="00DD7F9D" w:rsidP="00B85917">
      <w:pPr>
        <w:jc w:val="both"/>
      </w:pPr>
      <w:r>
        <w:t>Soler Dos Santos</w:t>
      </w:r>
      <w:r w:rsidR="006B1D4C">
        <w:t>,</w:t>
      </w:r>
      <w:r>
        <w:t xml:space="preserve"> Leticia</w:t>
      </w:r>
      <w:r w:rsidR="006B1D4C">
        <w:t>,</w:t>
      </w:r>
      <w:r w:rsidR="00B85917">
        <w:t xml:space="preserve"> </w:t>
      </w:r>
      <w:r>
        <w:t>1986</w:t>
      </w:r>
      <w:r w:rsidR="006B1D4C">
        <w:t>,</w:t>
      </w:r>
      <w:r>
        <w:t xml:space="preserve"> “El levantamiento indígena de Maxcanú, Yucatán, 1891-1892”, en Katz Friedrich</w:t>
      </w:r>
      <w:r w:rsidR="00C141FF">
        <w:t xml:space="preserve"> (</w:t>
      </w:r>
      <w:r w:rsidR="00DB0026">
        <w:t>eds</w:t>
      </w:r>
      <w:r w:rsidR="00C141FF">
        <w:t>)</w:t>
      </w:r>
      <w:r w:rsidR="004D6C40">
        <w:t>,</w:t>
      </w:r>
      <w:r>
        <w:t xml:space="preserve"> </w:t>
      </w:r>
      <w:r w:rsidRPr="00DB0026">
        <w:rPr>
          <w:i/>
        </w:rPr>
        <w:t>Porfirio Díaz frente al descontento popular regional (1891-1893).</w:t>
      </w:r>
      <w:r>
        <w:t xml:space="preserve"> Antología documental. México, Universidad iberoamericana</w:t>
      </w:r>
      <w:r w:rsidR="004D6C40">
        <w:t xml:space="preserve">. </w:t>
      </w:r>
    </w:p>
    <w:p w14:paraId="2E8B5AB5" w14:textId="77777777" w:rsidR="00606CDF" w:rsidRDefault="00606CDF" w:rsidP="00B85917">
      <w:pPr>
        <w:jc w:val="both"/>
      </w:pPr>
    </w:p>
    <w:p w14:paraId="3B9EF5BF" w14:textId="5933590B" w:rsidR="00606CDF" w:rsidRDefault="00606CDF" w:rsidP="00B85917">
      <w:pPr>
        <w:jc w:val="both"/>
      </w:pPr>
      <w:r w:rsidRPr="00606CDF">
        <w:t>Speckman</w:t>
      </w:r>
      <w:r w:rsidR="004D6C40">
        <w:t>,</w:t>
      </w:r>
      <w:r w:rsidRPr="00606CDF">
        <w:t xml:space="preserve"> E.</w:t>
      </w:r>
      <w:r w:rsidR="004D6C40">
        <w:t>,</w:t>
      </w:r>
      <w:r w:rsidRPr="00606CDF">
        <w:t xml:space="preserve"> 1992</w:t>
      </w:r>
      <w:r w:rsidR="004D6C40">
        <w:t>,</w:t>
      </w:r>
      <w:r w:rsidRPr="00B85917">
        <w:t xml:space="preserve"> </w:t>
      </w:r>
      <w:r w:rsidRPr="00B85917">
        <w:rPr>
          <w:i/>
        </w:rPr>
        <w:t xml:space="preserve">Crimen y castigo. </w:t>
      </w:r>
      <w:r>
        <w:rPr>
          <w:i/>
        </w:rPr>
        <w:t xml:space="preserve">Legislación penal, interpretaciones de la criminalidad y administración de justicia (Ciudad de México 1872-1910). </w:t>
      </w:r>
      <w:r>
        <w:t>México, Centro de estudios Históricos, El Colegio de México, Universidad Nacional Autónoma de México, Instituto de Investigaciones Históricas.</w:t>
      </w:r>
    </w:p>
    <w:p w14:paraId="7EF55431" w14:textId="77777777" w:rsidR="00606CDF" w:rsidRPr="00606CDF" w:rsidRDefault="00606CDF" w:rsidP="00B85917">
      <w:pPr>
        <w:jc w:val="both"/>
      </w:pPr>
    </w:p>
    <w:p w14:paraId="33239F61" w14:textId="234375EB" w:rsidR="00606CDF" w:rsidRDefault="00606CDF" w:rsidP="00B85917">
      <w:pPr>
        <w:jc w:val="both"/>
      </w:pPr>
      <w:r w:rsidRPr="00606CDF">
        <w:t>Speckman</w:t>
      </w:r>
      <w:r w:rsidR="004D6C40">
        <w:t>,</w:t>
      </w:r>
      <w:r w:rsidRPr="00606CDF">
        <w:t xml:space="preserve"> E</w:t>
      </w:r>
      <w:r w:rsidR="004D6C40">
        <w:t>lisa,</w:t>
      </w:r>
      <w:r w:rsidRPr="00606CDF">
        <w:t xml:space="preserve"> 1997</w:t>
      </w:r>
      <w:r w:rsidR="004D6C40">
        <w:t>,</w:t>
      </w:r>
      <w:r w:rsidRPr="00606CDF">
        <w:t xml:space="preserve">  </w:t>
      </w:r>
      <w:r w:rsidR="004D6C40">
        <w:t>“</w:t>
      </w:r>
      <w:r>
        <w:t>Las flores del mal. Mujeres criminales en el Porfiriato</w:t>
      </w:r>
      <w:r w:rsidR="004D6C40">
        <w:t>”</w:t>
      </w:r>
      <w:r>
        <w:t xml:space="preserve">, </w:t>
      </w:r>
      <w:r w:rsidRPr="00B70DAE">
        <w:rPr>
          <w:i/>
        </w:rPr>
        <w:t xml:space="preserve">Revista de Historia Mexicana, </w:t>
      </w:r>
      <w:r w:rsidR="004D6C40">
        <w:t>vol. 47, núm. 1, pp.</w:t>
      </w:r>
      <w:r w:rsidR="004D6C40" w:rsidRPr="00B70DAE" w:rsidDel="004D6C40">
        <w:t xml:space="preserve"> </w:t>
      </w:r>
      <w:r w:rsidRPr="00B70DAE">
        <w:t>133-181</w:t>
      </w:r>
      <w:r w:rsidR="004D6C40">
        <w:t>.</w:t>
      </w:r>
    </w:p>
    <w:p w14:paraId="678115B1" w14:textId="77777777" w:rsidR="00BD1B1A" w:rsidRDefault="00BD1B1A" w:rsidP="00B85917">
      <w:pPr>
        <w:jc w:val="both"/>
      </w:pPr>
    </w:p>
    <w:p w14:paraId="3A049A9B" w14:textId="4DE1F64B" w:rsidR="00BD1B1A" w:rsidRPr="00B85917" w:rsidRDefault="00BD1B1A" w:rsidP="00BD1B1A">
      <w:r w:rsidRPr="00B85917">
        <w:t>Taylor</w:t>
      </w:r>
      <w:r w:rsidR="004D6C40">
        <w:t>,</w:t>
      </w:r>
      <w:r w:rsidRPr="00B85917">
        <w:t xml:space="preserve"> B. W.</w:t>
      </w:r>
      <w:r w:rsidR="004D6C40">
        <w:t>,</w:t>
      </w:r>
      <w:r w:rsidRPr="00B85917">
        <w:t xml:space="preserve"> 1987</w:t>
      </w:r>
      <w:r w:rsidR="004D6C40" w:rsidRPr="00DB0026">
        <w:rPr>
          <w:i/>
        </w:rPr>
        <w:t xml:space="preserve">, </w:t>
      </w:r>
      <w:r w:rsidRPr="00DB0026">
        <w:rPr>
          <w:i/>
        </w:rPr>
        <w:t>Embriaguez, homicidio y rebelión en las poblaciones coloniales mexicanas</w:t>
      </w:r>
      <w:r w:rsidR="004D6C40">
        <w:rPr>
          <w:i/>
        </w:rPr>
        <w:t>,</w:t>
      </w:r>
      <w:r w:rsidRPr="00B85917">
        <w:t xml:space="preserve"> México, Fondo de Cultura Económica.</w:t>
      </w:r>
    </w:p>
    <w:p w14:paraId="5E2A0D5A" w14:textId="77777777" w:rsidR="00BD1B1A" w:rsidRDefault="00BD1B1A" w:rsidP="00B85917">
      <w:pPr>
        <w:jc w:val="both"/>
      </w:pPr>
    </w:p>
    <w:p w14:paraId="51754F11" w14:textId="77777777" w:rsidR="00606CDF" w:rsidRDefault="00606CDF" w:rsidP="00B85917">
      <w:pPr>
        <w:jc w:val="both"/>
      </w:pPr>
    </w:p>
    <w:p w14:paraId="1C6712E0" w14:textId="77777777" w:rsidR="00606CDF" w:rsidRPr="00606CDF" w:rsidRDefault="00606CDF" w:rsidP="00B85917">
      <w:pPr>
        <w:jc w:val="both"/>
      </w:pPr>
    </w:p>
    <w:p w14:paraId="2DDBDC88" w14:textId="77777777" w:rsidR="0076195F" w:rsidRPr="004248EB" w:rsidRDefault="0076195F" w:rsidP="0076195F">
      <w:pPr>
        <w:spacing w:line="360" w:lineRule="auto"/>
        <w:jc w:val="both"/>
        <w:rPr>
          <w:rFonts w:ascii="Arial" w:hAnsi="Arial" w:cs="Arial"/>
        </w:rPr>
      </w:pPr>
    </w:p>
    <w:p w14:paraId="152B8D00" w14:textId="77777777" w:rsidR="00282C5E" w:rsidRDefault="00282C5E" w:rsidP="004801C9">
      <w:pPr>
        <w:spacing w:line="480" w:lineRule="auto"/>
        <w:ind w:firstLine="708"/>
        <w:jc w:val="both"/>
      </w:pPr>
    </w:p>
    <w:sectPr w:rsidR="00282C5E">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E8D98" w14:textId="77777777" w:rsidR="00D84E0D" w:rsidRDefault="00D84E0D" w:rsidP="009D5F29">
      <w:r>
        <w:separator/>
      </w:r>
    </w:p>
  </w:endnote>
  <w:endnote w:type="continuationSeparator" w:id="0">
    <w:p w14:paraId="27C11042" w14:textId="77777777" w:rsidR="00D84E0D" w:rsidRDefault="00D84E0D" w:rsidP="009D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ACD27" w14:textId="298D77B1" w:rsidR="001F425E" w:rsidRDefault="001F425E">
    <w:pPr>
      <w:pStyle w:val="Piedep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D84E0D" w:rsidRPr="00D84E0D">
      <w:rPr>
        <w:caps/>
        <w:noProof/>
        <w:color w:val="5B9BD5" w:themeColor="accent1"/>
        <w:lang w:val="es-ES"/>
      </w:rPr>
      <w:t>1</w:t>
    </w:r>
    <w:r>
      <w:rPr>
        <w:caps/>
        <w:color w:val="5B9BD5" w:themeColor="accent1"/>
      </w:rPr>
      <w:fldChar w:fldCharType="end"/>
    </w:r>
  </w:p>
  <w:p w14:paraId="1B87FF01" w14:textId="77777777" w:rsidR="001F425E" w:rsidRDefault="001F425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86ED4" w14:textId="77777777" w:rsidR="00D84E0D" w:rsidRDefault="00D84E0D" w:rsidP="009D5F29">
      <w:r>
        <w:separator/>
      </w:r>
    </w:p>
  </w:footnote>
  <w:footnote w:type="continuationSeparator" w:id="0">
    <w:p w14:paraId="6792C35D" w14:textId="77777777" w:rsidR="00D84E0D" w:rsidRDefault="00D84E0D" w:rsidP="009D5F29">
      <w:r>
        <w:continuationSeparator/>
      </w:r>
    </w:p>
  </w:footnote>
  <w:footnote w:id="1">
    <w:p w14:paraId="0A7C16B7" w14:textId="2FB17487" w:rsidR="001F425E" w:rsidRDefault="001F425E" w:rsidP="00EE6FCA">
      <w:pPr>
        <w:pStyle w:val="Textonotapie"/>
        <w:jc w:val="both"/>
      </w:pPr>
      <w:r>
        <w:rPr>
          <w:rStyle w:val="Refdenotaalpie"/>
        </w:rPr>
        <w:footnoteRef/>
      </w:r>
      <w:r>
        <w:t xml:space="preserve"> El crimen de Tekax se desprende de la tesis de Licenciatura de Luis Roberto Canto Valdés cuyo título fue: “La criminalidad en la prensa meridana del porfiriato: notas y noticias en El Eco del Comercio y La Revista de Mérida, que se defendió en diciembre del 2006.  </w:t>
      </w:r>
    </w:p>
  </w:footnote>
  <w:footnote w:id="2">
    <w:p w14:paraId="007DC717" w14:textId="44D028F0" w:rsidR="001F425E" w:rsidRDefault="001F425E" w:rsidP="009B7531">
      <w:pPr>
        <w:pStyle w:val="Textonotapie"/>
        <w:jc w:val="both"/>
      </w:pPr>
      <w:r>
        <w:rPr>
          <w:rStyle w:val="Refdenotaalpie"/>
        </w:rPr>
        <w:footnoteRef/>
      </w:r>
      <w:r>
        <w:t xml:space="preserve"> </w:t>
      </w:r>
      <w:r>
        <w:rPr>
          <w:i/>
          <w:iCs/>
        </w:rPr>
        <w:t xml:space="preserve">Libelo difamatorio de Don Tomás Pérez Ponce, acusado por el C. Audomaro Molina ante el Señor Juez tercero de lo penal, </w:t>
      </w:r>
      <w:r>
        <w:rPr>
          <w:iCs/>
        </w:rPr>
        <w:t>Mérida, Manlio,</w:t>
      </w:r>
      <w:r>
        <w:t xml:space="preserve"> 1904</w:t>
      </w:r>
    </w:p>
  </w:footnote>
  <w:footnote w:id="3">
    <w:p w14:paraId="13CC79C6" w14:textId="59663454" w:rsidR="001F425E" w:rsidRPr="0090779A" w:rsidRDefault="001F425E">
      <w:pPr>
        <w:pStyle w:val="Textonotapie"/>
      </w:pPr>
      <w:r>
        <w:rPr>
          <w:rStyle w:val="Refdenotaalpie"/>
        </w:rPr>
        <w:footnoteRef/>
      </w:r>
      <w:r>
        <w:t xml:space="preserve"> Se le dirá en adelante </w:t>
      </w:r>
      <w:r>
        <w:rPr>
          <w:i/>
        </w:rPr>
        <w:t xml:space="preserve">La Revista </w:t>
      </w:r>
      <w:r>
        <w:t xml:space="preserve">a </w:t>
      </w:r>
      <w:r w:rsidR="00204444">
        <w:rPr>
          <w:i/>
        </w:rPr>
        <w:t>L</w:t>
      </w:r>
      <w:r w:rsidRPr="00204444">
        <w:rPr>
          <w:i/>
        </w:rPr>
        <w:t>a Revista de Mérida</w:t>
      </w:r>
      <w:r>
        <w:t xml:space="preserve"> para facilitar la lectura de este artículo.</w:t>
      </w:r>
    </w:p>
  </w:footnote>
  <w:footnote w:id="4">
    <w:p w14:paraId="6A8F2F9F" w14:textId="4616BE03" w:rsidR="001F425E" w:rsidRDefault="001F425E">
      <w:pPr>
        <w:pStyle w:val="Textonotapie"/>
      </w:pPr>
      <w:r>
        <w:rPr>
          <w:rStyle w:val="Refdenotaalpie"/>
        </w:rPr>
        <w:footnoteRef/>
      </w:r>
      <w:r>
        <w:t xml:space="preserve"> En adelante se nombrará al “Eco del Comercio como “El Eco” para facilitar la lectura.</w:t>
      </w:r>
    </w:p>
  </w:footnote>
  <w:footnote w:id="5">
    <w:p w14:paraId="1B41F9BE" w14:textId="77777777" w:rsidR="00F115D4" w:rsidRPr="00642672" w:rsidRDefault="00F115D4" w:rsidP="00F115D4">
      <w:pPr>
        <w:pStyle w:val="Textonotapie"/>
        <w:jc w:val="both"/>
      </w:pPr>
      <w:r>
        <w:rPr>
          <w:rStyle w:val="Refdenotaalpie"/>
        </w:rPr>
        <w:footnoteRef/>
      </w:r>
      <w:r>
        <w:t xml:space="preserve"> Los sirvientes de las fincas tenían que respetar y obedecer a los propietarios, mayordomos o encargados de la finca, la cual solamente podrían dejar solicitando permiso e indicando días y lugar de destino. La ley de 1878 de Yucatán y de Campeche señalaba que el huir de la hacienda se castigada con ocho días de trabajo en obras públicas, luego el propietario de la hacienda podía recuperar a su trabajador pagando los gastos de su aprehensión, los cuales debía de cubrir con trabajo el jornalero. (</w:t>
      </w:r>
      <w:r w:rsidRPr="006271B3">
        <w:t>González Navarro</w:t>
      </w:r>
      <w:r>
        <w:t>, 1970:</w:t>
      </w:r>
      <w:r w:rsidRPr="006271B3">
        <w:t xml:space="preserve"> 196</w:t>
      </w:r>
      <w:r>
        <w:t>-204).</w:t>
      </w:r>
    </w:p>
  </w:footnote>
  <w:footnote w:id="6">
    <w:p w14:paraId="69F92C68" w14:textId="70B26AD1" w:rsidR="001F425E" w:rsidRDefault="001F425E" w:rsidP="00531F18">
      <w:pPr>
        <w:pStyle w:val="Textonotapie"/>
        <w:jc w:val="both"/>
      </w:pPr>
      <w:r>
        <w:rPr>
          <w:rStyle w:val="Refdenotaalpie"/>
        </w:rPr>
        <w:footnoteRef/>
      </w:r>
      <w:r>
        <w:t xml:space="preserve"> E</w:t>
      </w:r>
      <w:r w:rsidRPr="00E35CF9">
        <w:t>l código de procedimientos criminales de 1906 autorizaba en Yucatán a mayordomos y administradores de las fincas rurales a perseguir a los que huían del compromiso de la deuda, y en caso de no poder dar con ellos la policía judicial les ayudaba a encontrar al deudor. (González Navarro, 1994</w:t>
      </w:r>
      <w:r w:rsidR="007E7256">
        <w:t>:</w:t>
      </w:r>
      <w:r w:rsidRPr="00E35CF9">
        <w:t xml:space="preserve"> </w:t>
      </w:r>
      <w:r w:rsidRPr="00E35CF9">
        <w:rPr>
          <w:lang w:val="es-ES"/>
        </w:rPr>
        <w:t>66-81)</w:t>
      </w:r>
      <w:r>
        <w:t xml:space="preserve"> </w:t>
      </w:r>
    </w:p>
  </w:footnote>
  <w:footnote w:id="7">
    <w:p w14:paraId="2035F1D8" w14:textId="491BA484" w:rsidR="001F425E" w:rsidRDefault="001F425E" w:rsidP="00A6217F">
      <w:pPr>
        <w:pStyle w:val="Textonotapie"/>
        <w:jc w:val="both"/>
        <w:rPr>
          <w:i/>
          <w:lang w:val="es-ES"/>
        </w:rPr>
      </w:pPr>
      <w:r>
        <w:rPr>
          <w:rStyle w:val="Refdenotaalpie"/>
        </w:rPr>
        <w:footnoteRef/>
      </w:r>
      <w:r>
        <w:t xml:space="preserve"> </w:t>
      </w:r>
      <w:r>
        <w:rPr>
          <w:lang w:val="es-ES"/>
        </w:rPr>
        <w:t>Manuel Cirerol y Canto, nació en Mérida en 1840 y murió en Tacubaya, Ciudad de México en 1924. Fue gobernador de Yucatán en el período de 1870-1872, antes fue vicegobernador en 1869. Impulsó el desarrollo de la industria azucarera en Tekax y Yucatán, trajo técnicos y prácticas modernas de Cuba para potenciar su explotación, estableció el ingenio Catmís. En 1894 se le nombró vocal de la Cámara Permanente de hacendados Henequeneros (</w:t>
      </w:r>
      <w:r w:rsidRPr="00DB0026">
        <w:rPr>
          <w:lang w:val="es-ES"/>
        </w:rPr>
        <w:t xml:space="preserve">Enclopedia </w:t>
      </w:r>
      <w:r w:rsidRPr="00DB0026">
        <w:rPr>
          <w:iCs/>
          <w:lang w:val="es-ES"/>
        </w:rPr>
        <w:t>Yucatán</w:t>
      </w:r>
      <w:r>
        <w:rPr>
          <w:iCs/>
          <w:lang w:val="es-ES"/>
        </w:rPr>
        <w:t>, 1998:</w:t>
      </w:r>
      <w:r>
        <w:rPr>
          <w:lang w:val="es-ES"/>
        </w:rPr>
        <w:t xml:space="preserve"> 238).</w:t>
      </w:r>
      <w:r>
        <w:rPr>
          <w:i/>
          <w:lang w:val="es-ES"/>
        </w:rPr>
        <w:t xml:space="preserve"> </w:t>
      </w:r>
    </w:p>
  </w:footnote>
  <w:footnote w:id="8">
    <w:p w14:paraId="015B77A7" w14:textId="706DB198" w:rsidR="001F425E" w:rsidRDefault="001F425E" w:rsidP="002D46B0">
      <w:pPr>
        <w:pStyle w:val="Textonotapie"/>
        <w:jc w:val="both"/>
        <w:rPr>
          <w:lang w:val="es-ES"/>
        </w:rPr>
      </w:pPr>
      <w:r>
        <w:rPr>
          <w:rStyle w:val="Refdenotaalpie"/>
        </w:rPr>
        <w:footnoteRef/>
      </w:r>
      <w:r>
        <w:t xml:space="preserve"> Director del periódico </w:t>
      </w:r>
      <w:r>
        <w:rPr>
          <w:i/>
          <w:lang w:val="es-ES"/>
        </w:rPr>
        <w:t>El Eco de la Sierra</w:t>
      </w:r>
      <w:r>
        <w:rPr>
          <w:lang w:val="es-ES"/>
        </w:rPr>
        <w:t xml:space="preserve"> de tendencia </w:t>
      </w:r>
      <w:r>
        <w:t xml:space="preserve">Porfirista y Antireeleccionista </w:t>
      </w:r>
      <w:r>
        <w:rPr>
          <w:lang w:val="es-ES"/>
        </w:rPr>
        <w:t>en donde se publicaron artículos políticos y de variedades, (</w:t>
      </w:r>
      <w:r w:rsidR="0024021A" w:rsidRPr="00DB0026">
        <w:rPr>
          <w:lang w:val="es-ES"/>
        </w:rPr>
        <w:t xml:space="preserve">Enciclopedia </w:t>
      </w:r>
      <w:r w:rsidRPr="00DB0026">
        <w:rPr>
          <w:iCs/>
          <w:lang w:val="es-ES"/>
        </w:rPr>
        <w:t>Yucatán</w:t>
      </w:r>
      <w:r w:rsidR="0024021A" w:rsidRPr="00DB0026">
        <w:rPr>
          <w:iCs/>
          <w:lang w:val="es-ES"/>
        </w:rPr>
        <w:t>,</w:t>
      </w:r>
      <w:r>
        <w:rPr>
          <w:i/>
          <w:iCs/>
          <w:lang w:val="es-ES"/>
        </w:rPr>
        <w:t xml:space="preserve"> </w:t>
      </w:r>
      <w:r>
        <w:rPr>
          <w:iCs/>
          <w:lang w:val="es-ES"/>
        </w:rPr>
        <w:t>1998</w:t>
      </w:r>
      <w:r w:rsidR="0024021A">
        <w:rPr>
          <w:iCs/>
          <w:lang w:val="es-ES"/>
        </w:rPr>
        <w:t xml:space="preserve">: </w:t>
      </w:r>
      <w:r>
        <w:rPr>
          <w:lang w:val="es-ES"/>
        </w:rPr>
        <w:t>549).</w:t>
      </w:r>
    </w:p>
  </w:footnote>
  <w:footnote w:id="9">
    <w:p w14:paraId="40CEFB04" w14:textId="07B8D063" w:rsidR="001F425E" w:rsidRPr="00376A35" w:rsidRDefault="001F425E" w:rsidP="002D46B0">
      <w:pPr>
        <w:pStyle w:val="Textonotapie"/>
        <w:jc w:val="both"/>
        <w:rPr>
          <w:lang w:val="es-ES"/>
        </w:rPr>
      </w:pPr>
      <w:r>
        <w:rPr>
          <w:rStyle w:val="Refdenotaalpie"/>
        </w:rPr>
        <w:footnoteRef/>
      </w:r>
      <w:r>
        <w:t xml:space="preserve"> </w:t>
      </w:r>
      <w:r>
        <w:rPr>
          <w:lang w:val="es-ES"/>
        </w:rPr>
        <w:t>P</w:t>
      </w:r>
      <w:r w:rsidRPr="00376A35">
        <w:rPr>
          <w:lang w:val="es-ES"/>
        </w:rPr>
        <w:t>eriódico de reflexión y propaganda católica</w:t>
      </w:r>
      <w:r>
        <w:rPr>
          <w:lang w:val="es-ES"/>
        </w:rPr>
        <w:t>.</w:t>
      </w:r>
      <w:r w:rsidRPr="00376A35">
        <w:rPr>
          <w:lang w:val="es-ES"/>
        </w:rPr>
        <w:t xml:space="preserve"> Francisco Molina lo dirigió y Néstor Rubio Alpuche fue uno de los muchos personajes que fueron redactores de este periódico. </w:t>
      </w:r>
      <w:r>
        <w:rPr>
          <w:lang w:val="es-ES"/>
        </w:rPr>
        <w:t>(</w:t>
      </w:r>
      <w:r w:rsidRPr="00DB0026">
        <w:rPr>
          <w:lang w:val="es-ES"/>
        </w:rPr>
        <w:t xml:space="preserve">Enciclopedia </w:t>
      </w:r>
      <w:r w:rsidRPr="00DB0026">
        <w:t>Yucatán,</w:t>
      </w:r>
      <w:r>
        <w:rPr>
          <w:i/>
        </w:rPr>
        <w:t xml:space="preserve"> </w:t>
      </w:r>
      <w:r>
        <w:t>1998:</w:t>
      </w:r>
      <w:r w:rsidRPr="00376A35">
        <w:rPr>
          <w:lang w:val="es-ES"/>
        </w:rPr>
        <w:t xml:space="preserve"> 276</w:t>
      </w:r>
      <w:r>
        <w:rPr>
          <w:lang w:val="es-E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F29"/>
    <w:rsid w:val="00005E8C"/>
    <w:rsid w:val="000132A1"/>
    <w:rsid w:val="00014D33"/>
    <w:rsid w:val="00016680"/>
    <w:rsid w:val="000215AD"/>
    <w:rsid w:val="00041C67"/>
    <w:rsid w:val="0005559E"/>
    <w:rsid w:val="00057103"/>
    <w:rsid w:val="00065730"/>
    <w:rsid w:val="00071F39"/>
    <w:rsid w:val="00073476"/>
    <w:rsid w:val="00076A90"/>
    <w:rsid w:val="0008168A"/>
    <w:rsid w:val="00081D89"/>
    <w:rsid w:val="000820A7"/>
    <w:rsid w:val="000860F8"/>
    <w:rsid w:val="000869FC"/>
    <w:rsid w:val="00087EB6"/>
    <w:rsid w:val="00095A1C"/>
    <w:rsid w:val="000A0196"/>
    <w:rsid w:val="000A023D"/>
    <w:rsid w:val="000A407F"/>
    <w:rsid w:val="000A4DB6"/>
    <w:rsid w:val="000A5C85"/>
    <w:rsid w:val="000A6376"/>
    <w:rsid w:val="000A67B2"/>
    <w:rsid w:val="000B1228"/>
    <w:rsid w:val="000C266B"/>
    <w:rsid w:val="000C5948"/>
    <w:rsid w:val="000D4448"/>
    <w:rsid w:val="000E1377"/>
    <w:rsid w:val="000E3319"/>
    <w:rsid w:val="000F3AD4"/>
    <w:rsid w:val="001029C5"/>
    <w:rsid w:val="001071F3"/>
    <w:rsid w:val="00112536"/>
    <w:rsid w:val="00113FCA"/>
    <w:rsid w:val="0011743D"/>
    <w:rsid w:val="001208BD"/>
    <w:rsid w:val="00126CC0"/>
    <w:rsid w:val="001279CF"/>
    <w:rsid w:val="0013007C"/>
    <w:rsid w:val="001305AC"/>
    <w:rsid w:val="00131DC8"/>
    <w:rsid w:val="001333C0"/>
    <w:rsid w:val="0013477F"/>
    <w:rsid w:val="001376BC"/>
    <w:rsid w:val="00142A7C"/>
    <w:rsid w:val="00162FE3"/>
    <w:rsid w:val="00164AEF"/>
    <w:rsid w:val="001658A0"/>
    <w:rsid w:val="00166C7F"/>
    <w:rsid w:val="00171088"/>
    <w:rsid w:val="00173E40"/>
    <w:rsid w:val="00174AD0"/>
    <w:rsid w:val="00185722"/>
    <w:rsid w:val="00186678"/>
    <w:rsid w:val="001908F2"/>
    <w:rsid w:val="00192B3D"/>
    <w:rsid w:val="00192D67"/>
    <w:rsid w:val="001A0834"/>
    <w:rsid w:val="001A2740"/>
    <w:rsid w:val="001A28FB"/>
    <w:rsid w:val="001A7F1F"/>
    <w:rsid w:val="001B3F0A"/>
    <w:rsid w:val="001B5E3B"/>
    <w:rsid w:val="001C5AA5"/>
    <w:rsid w:val="001D36C1"/>
    <w:rsid w:val="001E4455"/>
    <w:rsid w:val="001E5861"/>
    <w:rsid w:val="001F294A"/>
    <w:rsid w:val="001F371D"/>
    <w:rsid w:val="001F425E"/>
    <w:rsid w:val="001F558D"/>
    <w:rsid w:val="00200127"/>
    <w:rsid w:val="00200E23"/>
    <w:rsid w:val="0020438C"/>
    <w:rsid w:val="00204444"/>
    <w:rsid w:val="002067E4"/>
    <w:rsid w:val="00206CED"/>
    <w:rsid w:val="00210CCF"/>
    <w:rsid w:val="00213030"/>
    <w:rsid w:val="00217458"/>
    <w:rsid w:val="002218F4"/>
    <w:rsid w:val="002236FA"/>
    <w:rsid w:val="00233823"/>
    <w:rsid w:val="00234C32"/>
    <w:rsid w:val="00237267"/>
    <w:rsid w:val="0024021A"/>
    <w:rsid w:val="00250257"/>
    <w:rsid w:val="00256B59"/>
    <w:rsid w:val="002624BB"/>
    <w:rsid w:val="00264FE1"/>
    <w:rsid w:val="0027277F"/>
    <w:rsid w:val="00275C4D"/>
    <w:rsid w:val="00277F41"/>
    <w:rsid w:val="00280D2E"/>
    <w:rsid w:val="00282C5E"/>
    <w:rsid w:val="00285614"/>
    <w:rsid w:val="002913A2"/>
    <w:rsid w:val="002935A8"/>
    <w:rsid w:val="00297E60"/>
    <w:rsid w:val="002A30E8"/>
    <w:rsid w:val="002A72B0"/>
    <w:rsid w:val="002C0BE4"/>
    <w:rsid w:val="002C5CD6"/>
    <w:rsid w:val="002C707C"/>
    <w:rsid w:val="002D0ECF"/>
    <w:rsid w:val="002D3828"/>
    <w:rsid w:val="002D3E29"/>
    <w:rsid w:val="002D46B0"/>
    <w:rsid w:val="002D4FA6"/>
    <w:rsid w:val="002D7B03"/>
    <w:rsid w:val="002E7ADA"/>
    <w:rsid w:val="002F06DC"/>
    <w:rsid w:val="002F25A5"/>
    <w:rsid w:val="002F48DB"/>
    <w:rsid w:val="003043EE"/>
    <w:rsid w:val="0030591E"/>
    <w:rsid w:val="003140B3"/>
    <w:rsid w:val="00316641"/>
    <w:rsid w:val="00324C82"/>
    <w:rsid w:val="00324D4E"/>
    <w:rsid w:val="00333354"/>
    <w:rsid w:val="003369CC"/>
    <w:rsid w:val="00336E87"/>
    <w:rsid w:val="003414AE"/>
    <w:rsid w:val="00347D85"/>
    <w:rsid w:val="00351C02"/>
    <w:rsid w:val="003528A9"/>
    <w:rsid w:val="00356422"/>
    <w:rsid w:val="003608CE"/>
    <w:rsid w:val="0036286D"/>
    <w:rsid w:val="00366EFD"/>
    <w:rsid w:val="00370850"/>
    <w:rsid w:val="0037252F"/>
    <w:rsid w:val="00374C6B"/>
    <w:rsid w:val="00382428"/>
    <w:rsid w:val="003851B8"/>
    <w:rsid w:val="00391617"/>
    <w:rsid w:val="00392EFA"/>
    <w:rsid w:val="003949B3"/>
    <w:rsid w:val="003963E0"/>
    <w:rsid w:val="003A1383"/>
    <w:rsid w:val="003B1C4C"/>
    <w:rsid w:val="003B3B9B"/>
    <w:rsid w:val="003C02B6"/>
    <w:rsid w:val="003C5CEE"/>
    <w:rsid w:val="003D70DC"/>
    <w:rsid w:val="003D71E8"/>
    <w:rsid w:val="003D7505"/>
    <w:rsid w:val="003D7562"/>
    <w:rsid w:val="003E0FE8"/>
    <w:rsid w:val="003E6C52"/>
    <w:rsid w:val="003F042D"/>
    <w:rsid w:val="003F623E"/>
    <w:rsid w:val="004000CF"/>
    <w:rsid w:val="004008C5"/>
    <w:rsid w:val="004039BD"/>
    <w:rsid w:val="00403C8F"/>
    <w:rsid w:val="004142D4"/>
    <w:rsid w:val="00414596"/>
    <w:rsid w:val="00415089"/>
    <w:rsid w:val="004157D4"/>
    <w:rsid w:val="0042350E"/>
    <w:rsid w:val="00424128"/>
    <w:rsid w:val="00430811"/>
    <w:rsid w:val="004411CA"/>
    <w:rsid w:val="00447B3A"/>
    <w:rsid w:val="00450907"/>
    <w:rsid w:val="00456614"/>
    <w:rsid w:val="0046666C"/>
    <w:rsid w:val="004723FA"/>
    <w:rsid w:val="004731C3"/>
    <w:rsid w:val="004752D0"/>
    <w:rsid w:val="00476AFB"/>
    <w:rsid w:val="004801C9"/>
    <w:rsid w:val="004834D3"/>
    <w:rsid w:val="004853D5"/>
    <w:rsid w:val="00486493"/>
    <w:rsid w:val="00491C6B"/>
    <w:rsid w:val="004933F3"/>
    <w:rsid w:val="004942D2"/>
    <w:rsid w:val="004945FB"/>
    <w:rsid w:val="00497E6A"/>
    <w:rsid w:val="004A0501"/>
    <w:rsid w:val="004A0990"/>
    <w:rsid w:val="004A0E80"/>
    <w:rsid w:val="004A5641"/>
    <w:rsid w:val="004B430B"/>
    <w:rsid w:val="004B645F"/>
    <w:rsid w:val="004B7247"/>
    <w:rsid w:val="004C1CFF"/>
    <w:rsid w:val="004C3B48"/>
    <w:rsid w:val="004C6F57"/>
    <w:rsid w:val="004D54AA"/>
    <w:rsid w:val="004D6C40"/>
    <w:rsid w:val="004E0461"/>
    <w:rsid w:val="004E401E"/>
    <w:rsid w:val="004E667B"/>
    <w:rsid w:val="004E6B84"/>
    <w:rsid w:val="004F22FA"/>
    <w:rsid w:val="00500254"/>
    <w:rsid w:val="005057F7"/>
    <w:rsid w:val="00506562"/>
    <w:rsid w:val="005077A8"/>
    <w:rsid w:val="00511782"/>
    <w:rsid w:val="00514199"/>
    <w:rsid w:val="005218AE"/>
    <w:rsid w:val="00524D94"/>
    <w:rsid w:val="00524E13"/>
    <w:rsid w:val="00531255"/>
    <w:rsid w:val="00531F18"/>
    <w:rsid w:val="00532C7A"/>
    <w:rsid w:val="005341FC"/>
    <w:rsid w:val="005365D6"/>
    <w:rsid w:val="0053797F"/>
    <w:rsid w:val="00540891"/>
    <w:rsid w:val="00540A57"/>
    <w:rsid w:val="00541A31"/>
    <w:rsid w:val="00554ECE"/>
    <w:rsid w:val="005550A6"/>
    <w:rsid w:val="005562C6"/>
    <w:rsid w:val="00557A0D"/>
    <w:rsid w:val="0056284E"/>
    <w:rsid w:val="00562C37"/>
    <w:rsid w:val="0056479A"/>
    <w:rsid w:val="005661A1"/>
    <w:rsid w:val="00567DCD"/>
    <w:rsid w:val="005737A9"/>
    <w:rsid w:val="005818A2"/>
    <w:rsid w:val="00585746"/>
    <w:rsid w:val="0058652C"/>
    <w:rsid w:val="00586FF4"/>
    <w:rsid w:val="0059238B"/>
    <w:rsid w:val="00593602"/>
    <w:rsid w:val="00594339"/>
    <w:rsid w:val="00594B2E"/>
    <w:rsid w:val="00596741"/>
    <w:rsid w:val="005A02C4"/>
    <w:rsid w:val="005A070C"/>
    <w:rsid w:val="005A180A"/>
    <w:rsid w:val="005A2583"/>
    <w:rsid w:val="005A5F17"/>
    <w:rsid w:val="005B3DDF"/>
    <w:rsid w:val="005B48FA"/>
    <w:rsid w:val="005C267B"/>
    <w:rsid w:val="005C3D37"/>
    <w:rsid w:val="005D080D"/>
    <w:rsid w:val="005D28C7"/>
    <w:rsid w:val="005D4591"/>
    <w:rsid w:val="005E242A"/>
    <w:rsid w:val="005E63A2"/>
    <w:rsid w:val="005E69F3"/>
    <w:rsid w:val="005F1CB0"/>
    <w:rsid w:val="006038FF"/>
    <w:rsid w:val="0060463C"/>
    <w:rsid w:val="00606CDF"/>
    <w:rsid w:val="0061022E"/>
    <w:rsid w:val="006131AC"/>
    <w:rsid w:val="00614D82"/>
    <w:rsid w:val="00617F62"/>
    <w:rsid w:val="0062144E"/>
    <w:rsid w:val="00621839"/>
    <w:rsid w:val="00626A5E"/>
    <w:rsid w:val="006271B3"/>
    <w:rsid w:val="00635B7D"/>
    <w:rsid w:val="00637892"/>
    <w:rsid w:val="006461A1"/>
    <w:rsid w:val="006479D4"/>
    <w:rsid w:val="006562FC"/>
    <w:rsid w:val="00657446"/>
    <w:rsid w:val="0066016C"/>
    <w:rsid w:val="00661D9E"/>
    <w:rsid w:val="006644DC"/>
    <w:rsid w:val="00672BB9"/>
    <w:rsid w:val="006757A8"/>
    <w:rsid w:val="00675F73"/>
    <w:rsid w:val="006834D4"/>
    <w:rsid w:val="006837E1"/>
    <w:rsid w:val="006859CA"/>
    <w:rsid w:val="00685C90"/>
    <w:rsid w:val="0069653C"/>
    <w:rsid w:val="006A0D1F"/>
    <w:rsid w:val="006A5F2E"/>
    <w:rsid w:val="006B1D4C"/>
    <w:rsid w:val="006B1E81"/>
    <w:rsid w:val="006B3EBC"/>
    <w:rsid w:val="006C7279"/>
    <w:rsid w:val="006D459D"/>
    <w:rsid w:val="006D721B"/>
    <w:rsid w:val="006D7F23"/>
    <w:rsid w:val="006E2504"/>
    <w:rsid w:val="006E5EDA"/>
    <w:rsid w:val="006E6766"/>
    <w:rsid w:val="006F0068"/>
    <w:rsid w:val="006F4366"/>
    <w:rsid w:val="006F461B"/>
    <w:rsid w:val="00701106"/>
    <w:rsid w:val="007018D9"/>
    <w:rsid w:val="007054D4"/>
    <w:rsid w:val="007057E5"/>
    <w:rsid w:val="00711701"/>
    <w:rsid w:val="0071198E"/>
    <w:rsid w:val="007151B3"/>
    <w:rsid w:val="00727904"/>
    <w:rsid w:val="00730340"/>
    <w:rsid w:val="007354EB"/>
    <w:rsid w:val="00744E7D"/>
    <w:rsid w:val="0074783F"/>
    <w:rsid w:val="00753247"/>
    <w:rsid w:val="00756CF8"/>
    <w:rsid w:val="00760748"/>
    <w:rsid w:val="0076195F"/>
    <w:rsid w:val="00762733"/>
    <w:rsid w:val="00763613"/>
    <w:rsid w:val="007637EA"/>
    <w:rsid w:val="00772EDC"/>
    <w:rsid w:val="007809DE"/>
    <w:rsid w:val="00781BFB"/>
    <w:rsid w:val="007853C1"/>
    <w:rsid w:val="00793877"/>
    <w:rsid w:val="0079406A"/>
    <w:rsid w:val="007A56FB"/>
    <w:rsid w:val="007B1F4A"/>
    <w:rsid w:val="007B30EA"/>
    <w:rsid w:val="007B75A0"/>
    <w:rsid w:val="007C0734"/>
    <w:rsid w:val="007C15BF"/>
    <w:rsid w:val="007D29EB"/>
    <w:rsid w:val="007D3186"/>
    <w:rsid w:val="007D6B4C"/>
    <w:rsid w:val="007E6ABC"/>
    <w:rsid w:val="007E7256"/>
    <w:rsid w:val="007F396C"/>
    <w:rsid w:val="008054FA"/>
    <w:rsid w:val="0082074E"/>
    <w:rsid w:val="0082330B"/>
    <w:rsid w:val="00823728"/>
    <w:rsid w:val="00825083"/>
    <w:rsid w:val="00825F4E"/>
    <w:rsid w:val="008447D4"/>
    <w:rsid w:val="00846D86"/>
    <w:rsid w:val="00846DE8"/>
    <w:rsid w:val="00850E52"/>
    <w:rsid w:val="00851E09"/>
    <w:rsid w:val="00852414"/>
    <w:rsid w:val="00856E81"/>
    <w:rsid w:val="00862848"/>
    <w:rsid w:val="0087196F"/>
    <w:rsid w:val="008727B0"/>
    <w:rsid w:val="00873E2C"/>
    <w:rsid w:val="00884954"/>
    <w:rsid w:val="00887174"/>
    <w:rsid w:val="00890079"/>
    <w:rsid w:val="00893DEA"/>
    <w:rsid w:val="00895B2F"/>
    <w:rsid w:val="00896065"/>
    <w:rsid w:val="008964DE"/>
    <w:rsid w:val="00897064"/>
    <w:rsid w:val="008A25F7"/>
    <w:rsid w:val="008A3313"/>
    <w:rsid w:val="008A344F"/>
    <w:rsid w:val="008A67C6"/>
    <w:rsid w:val="008B172A"/>
    <w:rsid w:val="008B4361"/>
    <w:rsid w:val="008B47DA"/>
    <w:rsid w:val="008B78C2"/>
    <w:rsid w:val="008B7913"/>
    <w:rsid w:val="008C0705"/>
    <w:rsid w:val="008C38EE"/>
    <w:rsid w:val="008C5FE6"/>
    <w:rsid w:val="008C6C77"/>
    <w:rsid w:val="008D004E"/>
    <w:rsid w:val="008D15C9"/>
    <w:rsid w:val="008D481C"/>
    <w:rsid w:val="008D499A"/>
    <w:rsid w:val="008D59D0"/>
    <w:rsid w:val="008D6242"/>
    <w:rsid w:val="008E51F2"/>
    <w:rsid w:val="008E773F"/>
    <w:rsid w:val="008F07BD"/>
    <w:rsid w:val="00900403"/>
    <w:rsid w:val="00904608"/>
    <w:rsid w:val="0090779A"/>
    <w:rsid w:val="009100FE"/>
    <w:rsid w:val="009124E7"/>
    <w:rsid w:val="00913B3F"/>
    <w:rsid w:val="00915950"/>
    <w:rsid w:val="009176D2"/>
    <w:rsid w:val="00925C07"/>
    <w:rsid w:val="0093139E"/>
    <w:rsid w:val="00931D09"/>
    <w:rsid w:val="00934D27"/>
    <w:rsid w:val="009457BB"/>
    <w:rsid w:val="00946942"/>
    <w:rsid w:val="0095027E"/>
    <w:rsid w:val="00950F03"/>
    <w:rsid w:val="00951EA3"/>
    <w:rsid w:val="0095307A"/>
    <w:rsid w:val="00960294"/>
    <w:rsid w:val="0096104A"/>
    <w:rsid w:val="0096552F"/>
    <w:rsid w:val="00970208"/>
    <w:rsid w:val="00971673"/>
    <w:rsid w:val="00974EAF"/>
    <w:rsid w:val="0098190D"/>
    <w:rsid w:val="00985C52"/>
    <w:rsid w:val="009865C1"/>
    <w:rsid w:val="009932FE"/>
    <w:rsid w:val="0099510F"/>
    <w:rsid w:val="009A2D2D"/>
    <w:rsid w:val="009A55A5"/>
    <w:rsid w:val="009B0220"/>
    <w:rsid w:val="009B14BC"/>
    <w:rsid w:val="009B196A"/>
    <w:rsid w:val="009B4284"/>
    <w:rsid w:val="009B7531"/>
    <w:rsid w:val="009B7BD5"/>
    <w:rsid w:val="009C32B0"/>
    <w:rsid w:val="009C6576"/>
    <w:rsid w:val="009D066A"/>
    <w:rsid w:val="009D5F29"/>
    <w:rsid w:val="009D7790"/>
    <w:rsid w:val="009D7838"/>
    <w:rsid w:val="009E099B"/>
    <w:rsid w:val="009F076F"/>
    <w:rsid w:val="009F31B3"/>
    <w:rsid w:val="00A00514"/>
    <w:rsid w:val="00A017EB"/>
    <w:rsid w:val="00A028A6"/>
    <w:rsid w:val="00A04727"/>
    <w:rsid w:val="00A107D2"/>
    <w:rsid w:val="00A138C9"/>
    <w:rsid w:val="00A33E85"/>
    <w:rsid w:val="00A46B01"/>
    <w:rsid w:val="00A536FA"/>
    <w:rsid w:val="00A6217F"/>
    <w:rsid w:val="00A631AE"/>
    <w:rsid w:val="00A631D4"/>
    <w:rsid w:val="00A652FC"/>
    <w:rsid w:val="00A707D8"/>
    <w:rsid w:val="00A7627D"/>
    <w:rsid w:val="00A81DDB"/>
    <w:rsid w:val="00A91174"/>
    <w:rsid w:val="00A9224F"/>
    <w:rsid w:val="00A92C28"/>
    <w:rsid w:val="00AA1EC5"/>
    <w:rsid w:val="00AB0FCF"/>
    <w:rsid w:val="00AB506C"/>
    <w:rsid w:val="00AB648A"/>
    <w:rsid w:val="00AC0109"/>
    <w:rsid w:val="00AC1513"/>
    <w:rsid w:val="00AC7F71"/>
    <w:rsid w:val="00AD31D0"/>
    <w:rsid w:val="00AD6694"/>
    <w:rsid w:val="00AE0673"/>
    <w:rsid w:val="00AE36DB"/>
    <w:rsid w:val="00AF15DE"/>
    <w:rsid w:val="00AF4128"/>
    <w:rsid w:val="00AF4E56"/>
    <w:rsid w:val="00AF734B"/>
    <w:rsid w:val="00B01F40"/>
    <w:rsid w:val="00B05646"/>
    <w:rsid w:val="00B10F59"/>
    <w:rsid w:val="00B1326F"/>
    <w:rsid w:val="00B15550"/>
    <w:rsid w:val="00B2195D"/>
    <w:rsid w:val="00B238F0"/>
    <w:rsid w:val="00B25655"/>
    <w:rsid w:val="00B33A85"/>
    <w:rsid w:val="00B3510D"/>
    <w:rsid w:val="00B37F11"/>
    <w:rsid w:val="00B41A1D"/>
    <w:rsid w:val="00B44982"/>
    <w:rsid w:val="00B45103"/>
    <w:rsid w:val="00B46F5D"/>
    <w:rsid w:val="00B50D51"/>
    <w:rsid w:val="00B51D63"/>
    <w:rsid w:val="00B54ECE"/>
    <w:rsid w:val="00B564CC"/>
    <w:rsid w:val="00B66523"/>
    <w:rsid w:val="00B67EC5"/>
    <w:rsid w:val="00B80D6D"/>
    <w:rsid w:val="00B827A9"/>
    <w:rsid w:val="00B85917"/>
    <w:rsid w:val="00B9578C"/>
    <w:rsid w:val="00BA4BFA"/>
    <w:rsid w:val="00BA6958"/>
    <w:rsid w:val="00BB1E28"/>
    <w:rsid w:val="00BB3CF7"/>
    <w:rsid w:val="00BB413C"/>
    <w:rsid w:val="00BB7CB8"/>
    <w:rsid w:val="00BC0323"/>
    <w:rsid w:val="00BC153F"/>
    <w:rsid w:val="00BC1F74"/>
    <w:rsid w:val="00BC3498"/>
    <w:rsid w:val="00BC775D"/>
    <w:rsid w:val="00BD1B1A"/>
    <w:rsid w:val="00BD20C8"/>
    <w:rsid w:val="00BE4A07"/>
    <w:rsid w:val="00BE66CF"/>
    <w:rsid w:val="00BF5BEA"/>
    <w:rsid w:val="00BF74E1"/>
    <w:rsid w:val="00C0425F"/>
    <w:rsid w:val="00C106F5"/>
    <w:rsid w:val="00C13B87"/>
    <w:rsid w:val="00C141FF"/>
    <w:rsid w:val="00C14EC2"/>
    <w:rsid w:val="00C155AE"/>
    <w:rsid w:val="00C15C2C"/>
    <w:rsid w:val="00C166F5"/>
    <w:rsid w:val="00C20CEF"/>
    <w:rsid w:val="00C22D1C"/>
    <w:rsid w:val="00C30736"/>
    <w:rsid w:val="00C30F30"/>
    <w:rsid w:val="00C368DA"/>
    <w:rsid w:val="00C37688"/>
    <w:rsid w:val="00C4101B"/>
    <w:rsid w:val="00C43F43"/>
    <w:rsid w:val="00C54E88"/>
    <w:rsid w:val="00C641E1"/>
    <w:rsid w:val="00C66D7E"/>
    <w:rsid w:val="00C8137A"/>
    <w:rsid w:val="00C828CE"/>
    <w:rsid w:val="00C83322"/>
    <w:rsid w:val="00C8412E"/>
    <w:rsid w:val="00C956EE"/>
    <w:rsid w:val="00C96D1C"/>
    <w:rsid w:val="00C97543"/>
    <w:rsid w:val="00CA0B0A"/>
    <w:rsid w:val="00CA199F"/>
    <w:rsid w:val="00CC1EB6"/>
    <w:rsid w:val="00CC3E72"/>
    <w:rsid w:val="00CD0A9D"/>
    <w:rsid w:val="00CD1B43"/>
    <w:rsid w:val="00CD238B"/>
    <w:rsid w:val="00CD3107"/>
    <w:rsid w:val="00CD32C5"/>
    <w:rsid w:val="00CE1084"/>
    <w:rsid w:val="00CE3840"/>
    <w:rsid w:val="00CE5E84"/>
    <w:rsid w:val="00CE63BB"/>
    <w:rsid w:val="00CF44DD"/>
    <w:rsid w:val="00CF5700"/>
    <w:rsid w:val="00D03859"/>
    <w:rsid w:val="00D0490C"/>
    <w:rsid w:val="00D07270"/>
    <w:rsid w:val="00D106A9"/>
    <w:rsid w:val="00D11C70"/>
    <w:rsid w:val="00D16650"/>
    <w:rsid w:val="00D17C43"/>
    <w:rsid w:val="00D22B5A"/>
    <w:rsid w:val="00D25A5D"/>
    <w:rsid w:val="00D35A40"/>
    <w:rsid w:val="00D35FBD"/>
    <w:rsid w:val="00D40657"/>
    <w:rsid w:val="00D42824"/>
    <w:rsid w:val="00D44DC2"/>
    <w:rsid w:val="00D53795"/>
    <w:rsid w:val="00D54658"/>
    <w:rsid w:val="00D619D5"/>
    <w:rsid w:val="00D62953"/>
    <w:rsid w:val="00D67917"/>
    <w:rsid w:val="00D720C5"/>
    <w:rsid w:val="00D72B68"/>
    <w:rsid w:val="00D775CC"/>
    <w:rsid w:val="00D839B8"/>
    <w:rsid w:val="00D845C4"/>
    <w:rsid w:val="00D84E0D"/>
    <w:rsid w:val="00D85A52"/>
    <w:rsid w:val="00D917E9"/>
    <w:rsid w:val="00D91B92"/>
    <w:rsid w:val="00D969A6"/>
    <w:rsid w:val="00DA0D30"/>
    <w:rsid w:val="00DA6BD9"/>
    <w:rsid w:val="00DB0026"/>
    <w:rsid w:val="00DB304F"/>
    <w:rsid w:val="00DC2DDE"/>
    <w:rsid w:val="00DC7506"/>
    <w:rsid w:val="00DD5703"/>
    <w:rsid w:val="00DD7F9D"/>
    <w:rsid w:val="00DE64A1"/>
    <w:rsid w:val="00DF01F9"/>
    <w:rsid w:val="00DF4CEB"/>
    <w:rsid w:val="00DF4D75"/>
    <w:rsid w:val="00DF7A64"/>
    <w:rsid w:val="00E00EA6"/>
    <w:rsid w:val="00E1057C"/>
    <w:rsid w:val="00E15A8C"/>
    <w:rsid w:val="00E209BE"/>
    <w:rsid w:val="00E21AE8"/>
    <w:rsid w:val="00E21FB1"/>
    <w:rsid w:val="00E2281B"/>
    <w:rsid w:val="00E2662B"/>
    <w:rsid w:val="00E35CF9"/>
    <w:rsid w:val="00E36E46"/>
    <w:rsid w:val="00E413A7"/>
    <w:rsid w:val="00E523F1"/>
    <w:rsid w:val="00E557B5"/>
    <w:rsid w:val="00E712B3"/>
    <w:rsid w:val="00E81933"/>
    <w:rsid w:val="00E905F6"/>
    <w:rsid w:val="00E92A47"/>
    <w:rsid w:val="00E93A71"/>
    <w:rsid w:val="00E96A5F"/>
    <w:rsid w:val="00EA3473"/>
    <w:rsid w:val="00EB3CB9"/>
    <w:rsid w:val="00EB5ABC"/>
    <w:rsid w:val="00ED1094"/>
    <w:rsid w:val="00ED26C0"/>
    <w:rsid w:val="00ED5E6D"/>
    <w:rsid w:val="00EE400A"/>
    <w:rsid w:val="00EE6FCA"/>
    <w:rsid w:val="00EE7A25"/>
    <w:rsid w:val="00EE7C8F"/>
    <w:rsid w:val="00EF1161"/>
    <w:rsid w:val="00EF1F86"/>
    <w:rsid w:val="00EF2D2E"/>
    <w:rsid w:val="00EF2E6D"/>
    <w:rsid w:val="00EF36DE"/>
    <w:rsid w:val="00F00408"/>
    <w:rsid w:val="00F05345"/>
    <w:rsid w:val="00F05ECE"/>
    <w:rsid w:val="00F115D4"/>
    <w:rsid w:val="00F13EC5"/>
    <w:rsid w:val="00F1411D"/>
    <w:rsid w:val="00F145F6"/>
    <w:rsid w:val="00F15D5E"/>
    <w:rsid w:val="00F2302D"/>
    <w:rsid w:val="00F25C9D"/>
    <w:rsid w:val="00F32DC6"/>
    <w:rsid w:val="00F3790A"/>
    <w:rsid w:val="00F416CF"/>
    <w:rsid w:val="00F41D15"/>
    <w:rsid w:val="00F42E2D"/>
    <w:rsid w:val="00F42E7B"/>
    <w:rsid w:val="00F524E8"/>
    <w:rsid w:val="00F52C73"/>
    <w:rsid w:val="00F542E9"/>
    <w:rsid w:val="00F63D4A"/>
    <w:rsid w:val="00F649ED"/>
    <w:rsid w:val="00F7118D"/>
    <w:rsid w:val="00F7132E"/>
    <w:rsid w:val="00F71A02"/>
    <w:rsid w:val="00F72C48"/>
    <w:rsid w:val="00F73E71"/>
    <w:rsid w:val="00F75FF6"/>
    <w:rsid w:val="00F76EB7"/>
    <w:rsid w:val="00F77E2E"/>
    <w:rsid w:val="00F80461"/>
    <w:rsid w:val="00F81559"/>
    <w:rsid w:val="00F81679"/>
    <w:rsid w:val="00F82A3D"/>
    <w:rsid w:val="00F84767"/>
    <w:rsid w:val="00F85647"/>
    <w:rsid w:val="00F87095"/>
    <w:rsid w:val="00F90FCD"/>
    <w:rsid w:val="00F926F7"/>
    <w:rsid w:val="00F94E75"/>
    <w:rsid w:val="00F96461"/>
    <w:rsid w:val="00F975C0"/>
    <w:rsid w:val="00FA0703"/>
    <w:rsid w:val="00FA09A3"/>
    <w:rsid w:val="00FA2F94"/>
    <w:rsid w:val="00FA4C7A"/>
    <w:rsid w:val="00FA4C96"/>
    <w:rsid w:val="00FA4DD7"/>
    <w:rsid w:val="00FA5F3E"/>
    <w:rsid w:val="00FA658C"/>
    <w:rsid w:val="00FA6A96"/>
    <w:rsid w:val="00FB068F"/>
    <w:rsid w:val="00FB0E14"/>
    <w:rsid w:val="00FB5660"/>
    <w:rsid w:val="00FC5EB5"/>
    <w:rsid w:val="00FC6492"/>
    <w:rsid w:val="00FC7524"/>
    <w:rsid w:val="00FD2F26"/>
    <w:rsid w:val="00FD576E"/>
    <w:rsid w:val="00FD6E38"/>
    <w:rsid w:val="00FE1ED8"/>
    <w:rsid w:val="00FE3A9D"/>
    <w:rsid w:val="00FE4983"/>
    <w:rsid w:val="00FE7882"/>
    <w:rsid w:val="00FF54DA"/>
    <w:rsid w:val="00FF5738"/>
    <w:rsid w:val="00FF72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390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F29"/>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FC5EB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9D5F29"/>
    <w:rPr>
      <w:sz w:val="20"/>
      <w:szCs w:val="20"/>
    </w:rPr>
  </w:style>
  <w:style w:type="character" w:customStyle="1" w:styleId="TextonotapieCar">
    <w:name w:val="Texto nota pie Car"/>
    <w:basedOn w:val="Fuentedeprrafopredeter"/>
    <w:link w:val="Textonotapie"/>
    <w:semiHidden/>
    <w:rsid w:val="009D5F29"/>
    <w:rPr>
      <w:rFonts w:ascii="Times New Roman" w:eastAsia="Times New Roman" w:hAnsi="Times New Roman" w:cs="Times New Roman"/>
      <w:sz w:val="20"/>
      <w:szCs w:val="20"/>
      <w:lang w:eastAsia="es-MX"/>
    </w:rPr>
  </w:style>
  <w:style w:type="character" w:styleId="Refdenotaalpie">
    <w:name w:val="footnote reference"/>
    <w:basedOn w:val="Fuentedeprrafopredeter"/>
    <w:semiHidden/>
    <w:rsid w:val="009D5F29"/>
    <w:rPr>
      <w:vertAlign w:val="superscript"/>
    </w:rPr>
  </w:style>
  <w:style w:type="paragraph" w:styleId="Textoindependiente">
    <w:name w:val="Body Text"/>
    <w:basedOn w:val="Normal"/>
    <w:link w:val="TextoindependienteCar"/>
    <w:rsid w:val="009D5F29"/>
    <w:pPr>
      <w:spacing w:after="120"/>
    </w:pPr>
  </w:style>
  <w:style w:type="character" w:customStyle="1" w:styleId="TextoindependienteCar">
    <w:name w:val="Texto independiente Car"/>
    <w:basedOn w:val="Fuentedeprrafopredeter"/>
    <w:link w:val="Textoindependiente"/>
    <w:rsid w:val="009D5F29"/>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1022E"/>
    <w:rPr>
      <w:sz w:val="16"/>
      <w:szCs w:val="16"/>
    </w:rPr>
  </w:style>
  <w:style w:type="paragraph" w:styleId="Textocomentario">
    <w:name w:val="annotation text"/>
    <w:basedOn w:val="Normal"/>
    <w:link w:val="TextocomentarioCar"/>
    <w:uiPriority w:val="99"/>
    <w:semiHidden/>
    <w:unhideWhenUsed/>
    <w:rsid w:val="0061022E"/>
    <w:rPr>
      <w:sz w:val="20"/>
      <w:szCs w:val="20"/>
    </w:rPr>
  </w:style>
  <w:style w:type="character" w:customStyle="1" w:styleId="TextocomentarioCar">
    <w:name w:val="Texto comentario Car"/>
    <w:basedOn w:val="Fuentedeprrafopredeter"/>
    <w:link w:val="Textocomentario"/>
    <w:uiPriority w:val="99"/>
    <w:semiHidden/>
    <w:rsid w:val="0061022E"/>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61022E"/>
    <w:rPr>
      <w:b/>
      <w:bCs/>
    </w:rPr>
  </w:style>
  <w:style w:type="character" w:customStyle="1" w:styleId="AsuntodelcomentarioCar">
    <w:name w:val="Asunto del comentario Car"/>
    <w:basedOn w:val="TextocomentarioCar"/>
    <w:link w:val="Asuntodelcomentario"/>
    <w:uiPriority w:val="99"/>
    <w:semiHidden/>
    <w:rsid w:val="0061022E"/>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iPriority w:val="99"/>
    <w:semiHidden/>
    <w:unhideWhenUsed/>
    <w:rsid w:val="0061022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022E"/>
    <w:rPr>
      <w:rFonts w:ascii="Segoe UI" w:eastAsia="Times New Roman" w:hAnsi="Segoe UI" w:cs="Segoe UI"/>
      <w:sz w:val="18"/>
      <w:szCs w:val="18"/>
      <w:lang w:eastAsia="es-MX"/>
    </w:rPr>
  </w:style>
  <w:style w:type="paragraph" w:styleId="Encabezado">
    <w:name w:val="header"/>
    <w:basedOn w:val="Normal"/>
    <w:link w:val="EncabezadoCar"/>
    <w:uiPriority w:val="99"/>
    <w:unhideWhenUsed/>
    <w:rsid w:val="00934D27"/>
    <w:pPr>
      <w:tabs>
        <w:tab w:val="center" w:pos="4419"/>
        <w:tab w:val="right" w:pos="8838"/>
      </w:tabs>
    </w:pPr>
  </w:style>
  <w:style w:type="character" w:customStyle="1" w:styleId="EncabezadoCar">
    <w:name w:val="Encabezado Car"/>
    <w:basedOn w:val="Fuentedeprrafopredeter"/>
    <w:link w:val="Encabezado"/>
    <w:uiPriority w:val="99"/>
    <w:rsid w:val="00934D27"/>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934D27"/>
    <w:pPr>
      <w:tabs>
        <w:tab w:val="center" w:pos="4419"/>
        <w:tab w:val="right" w:pos="8838"/>
      </w:tabs>
    </w:pPr>
  </w:style>
  <w:style w:type="character" w:customStyle="1" w:styleId="PiedepginaCar">
    <w:name w:val="Pie de página Car"/>
    <w:basedOn w:val="Fuentedeprrafopredeter"/>
    <w:link w:val="Piedepgina"/>
    <w:uiPriority w:val="99"/>
    <w:rsid w:val="00934D27"/>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rsid w:val="00FC5EB5"/>
    <w:rPr>
      <w:rFonts w:asciiTheme="majorHAnsi" w:eastAsiaTheme="majorEastAsia" w:hAnsiTheme="majorHAnsi" w:cstheme="majorBidi"/>
      <w:color w:val="2E74B5" w:themeColor="accent1" w:themeShade="BF"/>
      <w:sz w:val="26"/>
      <w:szCs w:val="26"/>
      <w:lang w:eastAsia="es-MX"/>
    </w:rPr>
  </w:style>
  <w:style w:type="paragraph" w:styleId="Revisin">
    <w:name w:val="Revision"/>
    <w:hidden/>
    <w:uiPriority w:val="99"/>
    <w:semiHidden/>
    <w:rsid w:val="00F05345"/>
    <w:pPr>
      <w:spacing w:after="0" w:line="240" w:lineRule="auto"/>
    </w:pPr>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C828CE"/>
    <w:pPr>
      <w:widowControl w:val="0"/>
      <w:autoSpaceDE w:val="0"/>
      <w:autoSpaceDN w:val="0"/>
      <w:ind w:left="107"/>
    </w:pPr>
    <w:rPr>
      <w:sz w:val="22"/>
      <w:szCs w:val="22"/>
      <w:lang w:bidi="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2942">
      <w:bodyDiv w:val="1"/>
      <w:marLeft w:val="0"/>
      <w:marRight w:val="0"/>
      <w:marTop w:val="0"/>
      <w:marBottom w:val="0"/>
      <w:divBdr>
        <w:top w:val="none" w:sz="0" w:space="0" w:color="auto"/>
        <w:left w:val="none" w:sz="0" w:space="0" w:color="auto"/>
        <w:bottom w:val="none" w:sz="0" w:space="0" w:color="auto"/>
        <w:right w:val="none" w:sz="0" w:space="0" w:color="auto"/>
      </w:divBdr>
    </w:div>
    <w:div w:id="139662712">
      <w:bodyDiv w:val="1"/>
      <w:marLeft w:val="0"/>
      <w:marRight w:val="0"/>
      <w:marTop w:val="0"/>
      <w:marBottom w:val="0"/>
      <w:divBdr>
        <w:top w:val="none" w:sz="0" w:space="0" w:color="auto"/>
        <w:left w:val="none" w:sz="0" w:space="0" w:color="auto"/>
        <w:bottom w:val="none" w:sz="0" w:space="0" w:color="auto"/>
        <w:right w:val="none" w:sz="0" w:space="0" w:color="auto"/>
      </w:divBdr>
    </w:div>
    <w:div w:id="156775117">
      <w:bodyDiv w:val="1"/>
      <w:marLeft w:val="0"/>
      <w:marRight w:val="0"/>
      <w:marTop w:val="0"/>
      <w:marBottom w:val="0"/>
      <w:divBdr>
        <w:top w:val="none" w:sz="0" w:space="0" w:color="auto"/>
        <w:left w:val="none" w:sz="0" w:space="0" w:color="auto"/>
        <w:bottom w:val="none" w:sz="0" w:space="0" w:color="auto"/>
        <w:right w:val="none" w:sz="0" w:space="0" w:color="auto"/>
      </w:divBdr>
    </w:div>
    <w:div w:id="500201952">
      <w:bodyDiv w:val="1"/>
      <w:marLeft w:val="0"/>
      <w:marRight w:val="0"/>
      <w:marTop w:val="0"/>
      <w:marBottom w:val="0"/>
      <w:divBdr>
        <w:top w:val="none" w:sz="0" w:space="0" w:color="auto"/>
        <w:left w:val="none" w:sz="0" w:space="0" w:color="auto"/>
        <w:bottom w:val="none" w:sz="0" w:space="0" w:color="auto"/>
        <w:right w:val="none" w:sz="0" w:space="0" w:color="auto"/>
      </w:divBdr>
    </w:div>
    <w:div w:id="540677506">
      <w:bodyDiv w:val="1"/>
      <w:marLeft w:val="0"/>
      <w:marRight w:val="0"/>
      <w:marTop w:val="0"/>
      <w:marBottom w:val="0"/>
      <w:divBdr>
        <w:top w:val="none" w:sz="0" w:space="0" w:color="auto"/>
        <w:left w:val="none" w:sz="0" w:space="0" w:color="auto"/>
        <w:bottom w:val="none" w:sz="0" w:space="0" w:color="auto"/>
        <w:right w:val="none" w:sz="0" w:space="0" w:color="auto"/>
      </w:divBdr>
    </w:div>
    <w:div w:id="780881077">
      <w:bodyDiv w:val="1"/>
      <w:marLeft w:val="0"/>
      <w:marRight w:val="0"/>
      <w:marTop w:val="0"/>
      <w:marBottom w:val="0"/>
      <w:divBdr>
        <w:top w:val="none" w:sz="0" w:space="0" w:color="auto"/>
        <w:left w:val="none" w:sz="0" w:space="0" w:color="auto"/>
        <w:bottom w:val="none" w:sz="0" w:space="0" w:color="auto"/>
        <w:right w:val="none" w:sz="0" w:space="0" w:color="auto"/>
      </w:divBdr>
    </w:div>
    <w:div w:id="916088807">
      <w:bodyDiv w:val="1"/>
      <w:marLeft w:val="0"/>
      <w:marRight w:val="0"/>
      <w:marTop w:val="0"/>
      <w:marBottom w:val="0"/>
      <w:divBdr>
        <w:top w:val="none" w:sz="0" w:space="0" w:color="auto"/>
        <w:left w:val="none" w:sz="0" w:space="0" w:color="auto"/>
        <w:bottom w:val="none" w:sz="0" w:space="0" w:color="auto"/>
        <w:right w:val="none" w:sz="0" w:space="0" w:color="auto"/>
      </w:divBdr>
    </w:div>
    <w:div w:id="937831809">
      <w:bodyDiv w:val="1"/>
      <w:marLeft w:val="0"/>
      <w:marRight w:val="0"/>
      <w:marTop w:val="0"/>
      <w:marBottom w:val="0"/>
      <w:divBdr>
        <w:top w:val="none" w:sz="0" w:space="0" w:color="auto"/>
        <w:left w:val="none" w:sz="0" w:space="0" w:color="auto"/>
        <w:bottom w:val="none" w:sz="0" w:space="0" w:color="auto"/>
        <w:right w:val="none" w:sz="0" w:space="0" w:color="auto"/>
      </w:divBdr>
    </w:div>
    <w:div w:id="1003436770">
      <w:bodyDiv w:val="1"/>
      <w:marLeft w:val="0"/>
      <w:marRight w:val="0"/>
      <w:marTop w:val="0"/>
      <w:marBottom w:val="0"/>
      <w:divBdr>
        <w:top w:val="none" w:sz="0" w:space="0" w:color="auto"/>
        <w:left w:val="none" w:sz="0" w:space="0" w:color="auto"/>
        <w:bottom w:val="none" w:sz="0" w:space="0" w:color="auto"/>
        <w:right w:val="none" w:sz="0" w:space="0" w:color="auto"/>
      </w:divBdr>
    </w:div>
    <w:div w:id="1030106319">
      <w:bodyDiv w:val="1"/>
      <w:marLeft w:val="0"/>
      <w:marRight w:val="0"/>
      <w:marTop w:val="0"/>
      <w:marBottom w:val="0"/>
      <w:divBdr>
        <w:top w:val="none" w:sz="0" w:space="0" w:color="auto"/>
        <w:left w:val="none" w:sz="0" w:space="0" w:color="auto"/>
        <w:bottom w:val="none" w:sz="0" w:space="0" w:color="auto"/>
        <w:right w:val="none" w:sz="0" w:space="0" w:color="auto"/>
      </w:divBdr>
    </w:div>
    <w:div w:id="1143962196">
      <w:bodyDiv w:val="1"/>
      <w:marLeft w:val="0"/>
      <w:marRight w:val="0"/>
      <w:marTop w:val="0"/>
      <w:marBottom w:val="0"/>
      <w:divBdr>
        <w:top w:val="none" w:sz="0" w:space="0" w:color="auto"/>
        <w:left w:val="none" w:sz="0" w:space="0" w:color="auto"/>
        <w:bottom w:val="none" w:sz="0" w:space="0" w:color="auto"/>
        <w:right w:val="none" w:sz="0" w:space="0" w:color="auto"/>
      </w:divBdr>
    </w:div>
    <w:div w:id="1325357372">
      <w:bodyDiv w:val="1"/>
      <w:marLeft w:val="0"/>
      <w:marRight w:val="0"/>
      <w:marTop w:val="0"/>
      <w:marBottom w:val="0"/>
      <w:divBdr>
        <w:top w:val="none" w:sz="0" w:space="0" w:color="auto"/>
        <w:left w:val="none" w:sz="0" w:space="0" w:color="auto"/>
        <w:bottom w:val="none" w:sz="0" w:space="0" w:color="auto"/>
        <w:right w:val="none" w:sz="0" w:space="0" w:color="auto"/>
      </w:divBdr>
    </w:div>
    <w:div w:id="1337880510">
      <w:bodyDiv w:val="1"/>
      <w:marLeft w:val="0"/>
      <w:marRight w:val="0"/>
      <w:marTop w:val="0"/>
      <w:marBottom w:val="0"/>
      <w:divBdr>
        <w:top w:val="none" w:sz="0" w:space="0" w:color="auto"/>
        <w:left w:val="none" w:sz="0" w:space="0" w:color="auto"/>
        <w:bottom w:val="none" w:sz="0" w:space="0" w:color="auto"/>
        <w:right w:val="none" w:sz="0" w:space="0" w:color="auto"/>
      </w:divBdr>
    </w:div>
    <w:div w:id="1722361029">
      <w:bodyDiv w:val="1"/>
      <w:marLeft w:val="0"/>
      <w:marRight w:val="0"/>
      <w:marTop w:val="0"/>
      <w:marBottom w:val="0"/>
      <w:divBdr>
        <w:top w:val="none" w:sz="0" w:space="0" w:color="auto"/>
        <w:left w:val="none" w:sz="0" w:space="0" w:color="auto"/>
        <w:bottom w:val="none" w:sz="0" w:space="0" w:color="auto"/>
        <w:right w:val="none" w:sz="0" w:space="0" w:color="auto"/>
      </w:divBdr>
    </w:div>
    <w:div w:id="1785884832">
      <w:bodyDiv w:val="1"/>
      <w:marLeft w:val="0"/>
      <w:marRight w:val="0"/>
      <w:marTop w:val="0"/>
      <w:marBottom w:val="0"/>
      <w:divBdr>
        <w:top w:val="none" w:sz="0" w:space="0" w:color="auto"/>
        <w:left w:val="none" w:sz="0" w:space="0" w:color="auto"/>
        <w:bottom w:val="none" w:sz="0" w:space="0" w:color="auto"/>
        <w:right w:val="none" w:sz="0" w:space="0" w:color="auto"/>
      </w:divBdr>
    </w:div>
    <w:div w:id="1923296949">
      <w:bodyDiv w:val="1"/>
      <w:marLeft w:val="0"/>
      <w:marRight w:val="0"/>
      <w:marTop w:val="0"/>
      <w:marBottom w:val="0"/>
      <w:divBdr>
        <w:top w:val="none" w:sz="0" w:space="0" w:color="auto"/>
        <w:left w:val="none" w:sz="0" w:space="0" w:color="auto"/>
        <w:bottom w:val="none" w:sz="0" w:space="0" w:color="auto"/>
        <w:right w:val="none" w:sz="0" w:space="0" w:color="auto"/>
      </w:divBdr>
    </w:div>
    <w:div w:id="207469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74EA5-4162-42BB-BFD9-DC149BA93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7141</Words>
  <Characters>39278</Characters>
  <Application>Microsoft Office Word</Application>
  <DocSecurity>0</DocSecurity>
  <Lines>327</Lines>
  <Paragraphs>92</Paragraphs>
  <ScaleCrop>false</ScaleCrop>
  <Company/>
  <LinksUpToDate>false</LinksUpToDate>
  <CharactersWithSpaces>46327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2019-07-29T20:00:00Z</dcterms:created>
  <dcterms:modified xsi:type="dcterms:W3CDTF">2019-07-29T20:01:00Z</dcterms:modified>
</cp:coreProperties>
</file>